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79EB1" w14:textId="7EBA7C40" w:rsidR="001033C9" w:rsidRPr="001033C9" w:rsidRDefault="001033C9" w:rsidP="001033C9">
      <w:pPr>
        <w:spacing w:before="100" w:beforeAutospacing="1" w:after="100" w:afterAutospacing="1" w:line="240" w:lineRule="auto"/>
        <w:rPr>
          <w:rFonts w:ascii="Times New Roman" w:eastAsia="Times New Roman" w:hAnsi="Times New Roman" w:cs="Times New Roman"/>
          <w:color w:val="000000"/>
          <w:kern w:val="0"/>
          <w:lang w:val="en-GB" w:eastAsia="sv-SE"/>
          <w14:ligatures w14:val="none"/>
        </w:rPr>
      </w:pPr>
      <w:r w:rsidRPr="001033C9">
        <w:rPr>
          <w:rFonts w:ascii="Times New Roman" w:eastAsia="Times New Roman" w:hAnsi="Times New Roman" w:cs="Times New Roman"/>
          <w:b/>
          <w:bCs/>
          <w:color w:val="000000"/>
          <w:kern w:val="0"/>
          <w:lang w:val="en-GB" w:eastAsia="sv-SE"/>
          <w14:ligatures w14:val="none"/>
        </w:rPr>
        <w:t>Apocalyptic and Post-Apocalyptic Studies</w:t>
      </w:r>
      <w:r w:rsidR="00F2247B">
        <w:rPr>
          <w:rFonts w:ascii="Times New Roman" w:eastAsia="Times New Roman" w:hAnsi="Times New Roman" w:cs="Times New Roman"/>
          <w:b/>
          <w:bCs/>
          <w:color w:val="000000"/>
          <w:kern w:val="0"/>
          <w:lang w:val="en-GB" w:eastAsia="sv-SE"/>
          <w14:ligatures w14:val="none"/>
        </w:rPr>
        <w:t>: Description of the Research Field</w:t>
      </w:r>
    </w:p>
    <w:p w14:paraId="7C2FCF5A" w14:textId="7CB133AE" w:rsidR="001033C9" w:rsidRPr="001033C9" w:rsidRDefault="001033C9" w:rsidP="001033C9">
      <w:pPr>
        <w:spacing w:before="100" w:beforeAutospacing="1" w:after="100" w:afterAutospacing="1" w:line="240" w:lineRule="auto"/>
        <w:rPr>
          <w:rFonts w:ascii="Times New Roman" w:eastAsia="Times New Roman" w:hAnsi="Times New Roman" w:cs="Times New Roman"/>
          <w:color w:val="000000"/>
          <w:kern w:val="0"/>
          <w:lang w:val="en-GB" w:eastAsia="sv-SE"/>
          <w14:ligatures w14:val="none"/>
        </w:rPr>
      </w:pPr>
      <w:r w:rsidRPr="001033C9">
        <w:rPr>
          <w:rFonts w:ascii="Times New Roman" w:eastAsia="Times New Roman" w:hAnsi="Times New Roman" w:cs="Times New Roman"/>
          <w:color w:val="000000"/>
          <w:kern w:val="0"/>
          <w:lang w:val="en-GB" w:eastAsia="sv-SE"/>
          <w14:ligatures w14:val="none"/>
        </w:rPr>
        <w:t xml:space="preserve">Apocalyptic and post-apocalyptic studies is an interdisciplinary field that explores </w:t>
      </w:r>
      <w:r>
        <w:rPr>
          <w:rFonts w:ascii="Times New Roman" w:eastAsia="Times New Roman" w:hAnsi="Times New Roman" w:cs="Times New Roman"/>
          <w:color w:val="000000"/>
          <w:kern w:val="0"/>
          <w:lang w:val="en-GB" w:eastAsia="sv-SE"/>
          <w14:ligatures w14:val="none"/>
        </w:rPr>
        <w:t xml:space="preserve">end-time </w:t>
      </w:r>
      <w:r w:rsidRPr="00880CB2">
        <w:rPr>
          <w:rFonts w:ascii="Times New Roman" w:eastAsia="Times New Roman" w:hAnsi="Times New Roman" w:cs="Times New Roman"/>
          <w:color w:val="000000"/>
          <w:kern w:val="0"/>
          <w:lang w:val="en-GB" w:eastAsia="sv-SE"/>
          <w14:ligatures w14:val="none"/>
        </w:rPr>
        <w:t xml:space="preserve">representations in the biblical tradition and beyond. </w:t>
      </w:r>
      <w:r w:rsidRPr="001033C9">
        <w:rPr>
          <w:rFonts w:ascii="Times New Roman" w:eastAsia="Times New Roman" w:hAnsi="Times New Roman" w:cs="Times New Roman"/>
          <w:color w:val="000000"/>
          <w:kern w:val="0"/>
          <w:lang w:val="en-GB" w:eastAsia="sv-SE"/>
          <w14:ligatures w14:val="none"/>
        </w:rPr>
        <w:t xml:space="preserve">Drawing from religious texts, literature, </w:t>
      </w:r>
      <w:r w:rsidR="00FC0654">
        <w:rPr>
          <w:rFonts w:ascii="Times New Roman" w:eastAsia="Times New Roman" w:hAnsi="Times New Roman" w:cs="Times New Roman"/>
          <w:color w:val="000000"/>
          <w:kern w:val="0"/>
          <w:lang w:val="en-GB" w:eastAsia="sv-SE"/>
          <w14:ligatures w14:val="none"/>
        </w:rPr>
        <w:t xml:space="preserve">art, </w:t>
      </w:r>
      <w:r w:rsidRPr="001033C9">
        <w:rPr>
          <w:rFonts w:ascii="Times New Roman" w:eastAsia="Times New Roman" w:hAnsi="Times New Roman" w:cs="Times New Roman"/>
          <w:color w:val="000000"/>
          <w:kern w:val="0"/>
          <w:lang w:val="en-GB" w:eastAsia="sv-SE"/>
          <w14:ligatures w14:val="none"/>
        </w:rPr>
        <w:t xml:space="preserve">film, </w:t>
      </w:r>
      <w:r w:rsidR="00FC0654">
        <w:rPr>
          <w:rFonts w:ascii="Times New Roman" w:eastAsia="Times New Roman" w:hAnsi="Times New Roman" w:cs="Times New Roman"/>
          <w:color w:val="000000"/>
          <w:kern w:val="0"/>
          <w:lang w:val="en-GB" w:eastAsia="sv-SE"/>
          <w14:ligatures w14:val="none"/>
        </w:rPr>
        <w:t xml:space="preserve">popular culture, </w:t>
      </w:r>
      <w:r w:rsidRPr="001033C9">
        <w:rPr>
          <w:rFonts w:ascii="Times New Roman" w:eastAsia="Times New Roman" w:hAnsi="Times New Roman" w:cs="Times New Roman"/>
          <w:color w:val="000000"/>
          <w:kern w:val="0"/>
          <w:lang w:val="en-GB" w:eastAsia="sv-SE"/>
          <w14:ligatures w14:val="none"/>
        </w:rPr>
        <w:t xml:space="preserve">and </w:t>
      </w:r>
      <w:r w:rsidR="00FC0654">
        <w:rPr>
          <w:rFonts w:ascii="Times New Roman" w:eastAsia="Times New Roman" w:hAnsi="Times New Roman" w:cs="Times New Roman"/>
          <w:color w:val="000000"/>
          <w:kern w:val="0"/>
          <w:lang w:val="en-GB" w:eastAsia="sv-SE"/>
          <w14:ligatures w14:val="none"/>
        </w:rPr>
        <w:t>media representation</w:t>
      </w:r>
      <w:r w:rsidRPr="001033C9">
        <w:rPr>
          <w:rFonts w:ascii="Times New Roman" w:eastAsia="Times New Roman" w:hAnsi="Times New Roman" w:cs="Times New Roman"/>
          <w:color w:val="000000"/>
          <w:kern w:val="0"/>
          <w:lang w:val="en-GB" w:eastAsia="sv-SE"/>
          <w14:ligatures w14:val="none"/>
        </w:rPr>
        <w:t>, this field investigates how individuals and societies imagine, narrate, and respond to cataclysmic upheaval—both real and fictional. At its core, the field examines the symbolic, moral, and existential meanings ascribed to destruction and renewal, often with a focus on human responsibility, agency, and hope in the face of collapse.</w:t>
      </w:r>
    </w:p>
    <w:p w14:paraId="54392CEE" w14:textId="17C62EF1" w:rsidR="00880CB2" w:rsidRPr="001033C9" w:rsidRDefault="001033C9" w:rsidP="001033C9">
      <w:pPr>
        <w:spacing w:before="100" w:beforeAutospacing="1" w:after="100" w:afterAutospacing="1" w:line="240" w:lineRule="auto"/>
        <w:rPr>
          <w:rFonts w:ascii="Times New Roman" w:eastAsia="Times New Roman" w:hAnsi="Times New Roman" w:cs="Times New Roman"/>
          <w:color w:val="000000"/>
          <w:kern w:val="0"/>
          <w:lang w:val="en-GB" w:eastAsia="sv-SE"/>
          <w14:ligatures w14:val="none"/>
        </w:rPr>
      </w:pPr>
      <w:r w:rsidRPr="001033C9">
        <w:rPr>
          <w:rFonts w:ascii="Times New Roman" w:eastAsia="Times New Roman" w:hAnsi="Times New Roman" w:cs="Times New Roman"/>
          <w:color w:val="000000"/>
          <w:kern w:val="0"/>
          <w:lang w:val="en-GB" w:eastAsia="sv-SE"/>
          <w14:ligatures w14:val="none"/>
        </w:rPr>
        <w:t xml:space="preserve">Theologically, apocalyptic studies </w:t>
      </w:r>
      <w:r w:rsidRPr="00880CB2">
        <w:rPr>
          <w:rFonts w:ascii="Times New Roman" w:eastAsia="Times New Roman" w:hAnsi="Times New Roman" w:cs="Times New Roman"/>
          <w:color w:val="000000"/>
          <w:kern w:val="0"/>
          <w:lang w:val="en-GB" w:eastAsia="sv-SE"/>
          <w14:ligatures w14:val="none"/>
        </w:rPr>
        <w:t xml:space="preserve">draw on </w:t>
      </w:r>
      <w:r w:rsidR="00880CB2" w:rsidRPr="00880CB2">
        <w:rPr>
          <w:rFonts w:ascii="Times New Roman" w:eastAsia="Times New Roman" w:hAnsi="Times New Roman" w:cs="Times New Roman"/>
          <w:color w:val="000000"/>
          <w:kern w:val="0"/>
          <w:lang w:val="en-GB" w:eastAsia="sv-SE"/>
          <w14:ligatures w14:val="none"/>
        </w:rPr>
        <w:t xml:space="preserve">the </w:t>
      </w:r>
      <w:r w:rsidRPr="00880CB2">
        <w:rPr>
          <w:rFonts w:ascii="Times New Roman" w:eastAsia="Times New Roman" w:hAnsi="Times New Roman" w:cs="Times New Roman"/>
          <w:color w:val="000000"/>
          <w:kern w:val="0"/>
          <w:lang w:val="en-GB" w:eastAsia="sv-SE"/>
          <w14:ligatures w14:val="none"/>
        </w:rPr>
        <w:t xml:space="preserve">established research </w:t>
      </w:r>
      <w:r w:rsidR="00880CB2" w:rsidRPr="00880CB2">
        <w:rPr>
          <w:rFonts w:ascii="Times New Roman" w:eastAsia="Times New Roman" w:hAnsi="Times New Roman" w:cs="Times New Roman"/>
          <w:color w:val="000000"/>
          <w:kern w:val="0"/>
          <w:lang w:val="en-GB" w:eastAsia="sv-SE"/>
          <w14:ligatures w14:val="none"/>
        </w:rPr>
        <w:t xml:space="preserve">into ancient and medieval apocalyptic texts and imagery. Systematic theology helps interpret apocalyptic texts not merely as predictions of future events, but as symbolic and theological discourses about justice, sovereignty, and </w:t>
      </w:r>
      <w:r w:rsidR="00116079">
        <w:rPr>
          <w:rFonts w:ascii="Times New Roman" w:eastAsia="Times New Roman" w:hAnsi="Times New Roman" w:cs="Times New Roman"/>
          <w:color w:val="000000"/>
          <w:kern w:val="0"/>
          <w:lang w:val="en-GB" w:eastAsia="sv-SE"/>
          <w14:ligatures w14:val="none"/>
        </w:rPr>
        <w:t>power</w:t>
      </w:r>
      <w:r w:rsidR="00880CB2" w:rsidRPr="00880CB2">
        <w:rPr>
          <w:rFonts w:ascii="Times New Roman" w:eastAsia="Times New Roman" w:hAnsi="Times New Roman" w:cs="Times New Roman"/>
          <w:color w:val="000000"/>
          <w:kern w:val="0"/>
          <w:lang w:val="en-GB" w:eastAsia="sv-SE"/>
          <w14:ligatures w14:val="none"/>
        </w:rPr>
        <w:t>. Through doctrines such as creation, providence, sin, redemption, and eschatology, it frames apocalyptic motifs within a broader theological narrative. This allows scholars to distinguish between fatalistic or sensationalist appropriations of apocalyptic rhetoric and the deeper theological insights they intend to convey.</w:t>
      </w:r>
    </w:p>
    <w:p w14:paraId="215093C5" w14:textId="238E6DA3" w:rsidR="001033C9" w:rsidRPr="001033C9" w:rsidRDefault="001033C9" w:rsidP="001033C9">
      <w:pPr>
        <w:spacing w:before="100" w:beforeAutospacing="1" w:after="100" w:afterAutospacing="1" w:line="240" w:lineRule="auto"/>
        <w:rPr>
          <w:rFonts w:ascii="Times New Roman" w:eastAsia="Times New Roman" w:hAnsi="Times New Roman" w:cs="Times New Roman"/>
          <w:color w:val="000000"/>
          <w:kern w:val="0"/>
          <w:lang w:val="en-GB" w:eastAsia="sv-SE"/>
          <w14:ligatures w14:val="none"/>
        </w:rPr>
      </w:pPr>
      <w:r w:rsidRPr="001033C9">
        <w:rPr>
          <w:rFonts w:ascii="Times New Roman" w:eastAsia="Times New Roman" w:hAnsi="Times New Roman" w:cs="Times New Roman"/>
          <w:color w:val="000000"/>
          <w:kern w:val="0"/>
          <w:lang w:val="en-GB" w:eastAsia="sv-SE"/>
          <w14:ligatures w14:val="none"/>
        </w:rPr>
        <w:t xml:space="preserve">Philosophically, the field engages with questions of temporality, meaning, and the limits of human knowledge and control. Thinkers like </w:t>
      </w:r>
      <w:r w:rsidR="00E01BF0">
        <w:rPr>
          <w:rFonts w:ascii="Times New Roman" w:eastAsia="Times New Roman" w:hAnsi="Times New Roman" w:cs="Times New Roman"/>
          <w:color w:val="000000"/>
          <w:kern w:val="0"/>
          <w:lang w:val="en-GB" w:eastAsia="sv-SE"/>
          <w14:ligatures w14:val="none"/>
        </w:rPr>
        <w:t xml:space="preserve">Jacques </w:t>
      </w:r>
      <w:r w:rsidRPr="001033C9">
        <w:rPr>
          <w:rFonts w:ascii="Times New Roman" w:eastAsia="Times New Roman" w:hAnsi="Times New Roman" w:cs="Times New Roman"/>
          <w:color w:val="000000"/>
          <w:kern w:val="0"/>
          <w:lang w:val="en-GB" w:eastAsia="sv-SE"/>
          <w14:ligatures w14:val="none"/>
        </w:rPr>
        <w:t xml:space="preserve">Derrida, </w:t>
      </w:r>
      <w:r w:rsidR="00E01BF0">
        <w:rPr>
          <w:rFonts w:ascii="Times New Roman" w:eastAsia="Times New Roman" w:hAnsi="Times New Roman" w:cs="Times New Roman"/>
          <w:color w:val="000000"/>
          <w:kern w:val="0"/>
          <w:lang w:val="en-GB" w:eastAsia="sv-SE"/>
          <w14:ligatures w14:val="none"/>
        </w:rPr>
        <w:t xml:space="preserve">Georgio </w:t>
      </w:r>
      <w:r w:rsidRPr="001033C9">
        <w:rPr>
          <w:rFonts w:ascii="Times New Roman" w:eastAsia="Times New Roman" w:hAnsi="Times New Roman" w:cs="Times New Roman"/>
          <w:color w:val="000000"/>
          <w:kern w:val="0"/>
          <w:lang w:val="en-GB" w:eastAsia="sv-SE"/>
          <w14:ligatures w14:val="none"/>
        </w:rPr>
        <w:t>Agamben, and Jean-Luc Nancy have interrogated the apocalyptic as a philosophical trope—</w:t>
      </w:r>
      <w:r w:rsidR="00E01BF0">
        <w:rPr>
          <w:rFonts w:ascii="Times New Roman" w:eastAsia="Times New Roman" w:hAnsi="Times New Roman" w:cs="Times New Roman"/>
          <w:color w:val="000000"/>
          <w:kern w:val="0"/>
          <w:lang w:val="en-GB" w:eastAsia="sv-SE"/>
          <w14:ligatures w14:val="none"/>
        </w:rPr>
        <w:t xml:space="preserve">raising fundamental questions about power structures and the potential of radical transformation. </w:t>
      </w:r>
      <w:r w:rsidRPr="001033C9">
        <w:rPr>
          <w:rFonts w:ascii="Times New Roman" w:eastAsia="Times New Roman" w:hAnsi="Times New Roman" w:cs="Times New Roman"/>
          <w:color w:val="000000"/>
          <w:kern w:val="0"/>
          <w:lang w:val="en-GB" w:eastAsia="sv-SE"/>
          <w14:ligatures w14:val="none"/>
        </w:rPr>
        <w:t>Post-apocalyptic scenarios often serve as laboratories for ethical and ontological reflection: What remains of the human when civilization ends? What obligations persist when moral and legal structures vanish?</w:t>
      </w:r>
    </w:p>
    <w:p w14:paraId="2B41A31E" w14:textId="5AB8C34A" w:rsidR="001033C9" w:rsidRPr="001033C9" w:rsidRDefault="001033C9" w:rsidP="001033C9">
      <w:pPr>
        <w:spacing w:before="100" w:beforeAutospacing="1" w:after="100" w:afterAutospacing="1" w:line="240" w:lineRule="auto"/>
        <w:rPr>
          <w:rFonts w:ascii="Times New Roman" w:eastAsia="Times New Roman" w:hAnsi="Times New Roman" w:cs="Times New Roman"/>
          <w:color w:val="000000"/>
          <w:kern w:val="0"/>
          <w:lang w:val="en-GB" w:eastAsia="sv-SE"/>
          <w14:ligatures w14:val="none"/>
        </w:rPr>
      </w:pPr>
      <w:r w:rsidRPr="001033C9">
        <w:rPr>
          <w:rFonts w:ascii="Times New Roman" w:eastAsia="Times New Roman" w:hAnsi="Times New Roman" w:cs="Times New Roman"/>
          <w:color w:val="000000"/>
          <w:kern w:val="0"/>
          <w:lang w:val="en-GB" w:eastAsia="sv-SE"/>
          <w14:ligatures w14:val="none"/>
        </w:rPr>
        <w:t xml:space="preserve">Ethically, </w:t>
      </w:r>
      <w:r w:rsidR="00F2247B">
        <w:rPr>
          <w:rFonts w:ascii="Times New Roman" w:eastAsia="Times New Roman" w:hAnsi="Times New Roman" w:cs="Times New Roman"/>
          <w:color w:val="000000"/>
          <w:kern w:val="0"/>
          <w:lang w:val="en-GB" w:eastAsia="sv-SE"/>
          <w14:ligatures w14:val="none"/>
        </w:rPr>
        <w:t xml:space="preserve">the field engages with questions pertaining to </w:t>
      </w:r>
      <w:r w:rsidRPr="001033C9">
        <w:rPr>
          <w:rFonts w:ascii="Times New Roman" w:eastAsia="Times New Roman" w:hAnsi="Times New Roman" w:cs="Times New Roman"/>
          <w:color w:val="000000"/>
          <w:kern w:val="0"/>
          <w:lang w:val="en-GB" w:eastAsia="sv-SE"/>
          <w14:ligatures w14:val="none"/>
        </w:rPr>
        <w:t xml:space="preserve">contemporary </w:t>
      </w:r>
      <w:r w:rsidR="00F2247B">
        <w:rPr>
          <w:rFonts w:ascii="Times New Roman" w:eastAsia="Times New Roman" w:hAnsi="Times New Roman" w:cs="Times New Roman"/>
          <w:color w:val="000000"/>
          <w:kern w:val="0"/>
          <w:lang w:val="en-GB" w:eastAsia="sv-SE"/>
          <w14:ligatures w14:val="none"/>
        </w:rPr>
        <w:t>challenges</w:t>
      </w:r>
      <w:r w:rsidRPr="001033C9">
        <w:rPr>
          <w:rFonts w:ascii="Times New Roman" w:eastAsia="Times New Roman" w:hAnsi="Times New Roman" w:cs="Times New Roman"/>
          <w:color w:val="000000"/>
          <w:kern w:val="0"/>
          <w:lang w:val="en-GB" w:eastAsia="sv-SE"/>
          <w14:ligatures w14:val="none"/>
        </w:rPr>
        <w:t xml:space="preserve"> such as climate change, artificial intelligence, and political authoritarianism. These global threats are frequently described in apocalyptic terms, and such framing influences public perception, policy, and emotional response. The field thus contributes to critical discourse by </w:t>
      </w:r>
      <w:r w:rsidR="00F2247B">
        <w:rPr>
          <w:rFonts w:ascii="Times New Roman" w:eastAsia="Times New Roman" w:hAnsi="Times New Roman" w:cs="Times New Roman"/>
          <w:color w:val="000000"/>
          <w:kern w:val="0"/>
          <w:lang w:val="en-GB" w:eastAsia="sv-SE"/>
          <w14:ligatures w14:val="none"/>
        </w:rPr>
        <w:t xml:space="preserve">for example </w:t>
      </w:r>
      <w:r w:rsidRPr="001033C9">
        <w:rPr>
          <w:rFonts w:ascii="Times New Roman" w:eastAsia="Times New Roman" w:hAnsi="Times New Roman" w:cs="Times New Roman"/>
          <w:color w:val="000000"/>
          <w:kern w:val="0"/>
          <w:lang w:val="en-GB" w:eastAsia="sv-SE"/>
          <w14:ligatures w14:val="none"/>
        </w:rPr>
        <w:t xml:space="preserve">interrogating the uses and misuses of apocalyptic language. Moreover, it </w:t>
      </w:r>
      <w:r w:rsidR="00F2247B">
        <w:rPr>
          <w:rFonts w:ascii="Times New Roman" w:eastAsia="Times New Roman" w:hAnsi="Times New Roman" w:cs="Times New Roman"/>
          <w:color w:val="000000"/>
          <w:kern w:val="0"/>
          <w:lang w:val="en-GB" w:eastAsia="sv-SE"/>
          <w14:ligatures w14:val="none"/>
        </w:rPr>
        <w:t>also explores strategies of</w:t>
      </w:r>
      <w:r w:rsidRPr="001033C9">
        <w:rPr>
          <w:rFonts w:ascii="Times New Roman" w:eastAsia="Times New Roman" w:hAnsi="Times New Roman" w:cs="Times New Roman"/>
          <w:color w:val="000000"/>
          <w:kern w:val="0"/>
          <w:lang w:val="en-GB" w:eastAsia="sv-SE"/>
          <w14:ligatures w14:val="none"/>
        </w:rPr>
        <w:t xml:space="preserve"> resilience: how communities might cultivate hope, solidarity, and moral imagination in the face of systemic collapse.</w:t>
      </w:r>
    </w:p>
    <w:p w14:paraId="101B725E" w14:textId="6A3A8871" w:rsidR="001033C9" w:rsidRDefault="001033C9" w:rsidP="001033C9">
      <w:pPr>
        <w:spacing w:before="100" w:beforeAutospacing="1" w:after="100" w:afterAutospacing="1" w:line="240" w:lineRule="auto"/>
        <w:rPr>
          <w:rFonts w:ascii="Times New Roman" w:eastAsia="Times New Roman" w:hAnsi="Times New Roman" w:cs="Times New Roman"/>
          <w:color w:val="000000"/>
          <w:kern w:val="0"/>
          <w:lang w:val="en-GB" w:eastAsia="sv-SE"/>
          <w14:ligatures w14:val="none"/>
        </w:rPr>
      </w:pPr>
      <w:r w:rsidRPr="001033C9">
        <w:rPr>
          <w:rFonts w:ascii="Times New Roman" w:eastAsia="Times New Roman" w:hAnsi="Times New Roman" w:cs="Times New Roman"/>
          <w:color w:val="000000"/>
          <w:kern w:val="0"/>
          <w:lang w:val="en-GB" w:eastAsia="sv-SE"/>
          <w14:ligatures w14:val="none"/>
        </w:rPr>
        <w:t xml:space="preserve">Ultimately, apocalyptic and post-apocalyptic studies offer vital tools for understanding how societies confront existential threats—past, present, and future. By bridging theology, philosophy, and ethics, the field deepens our capacity to reckon with catastrophe, resist despair, and envision transformation. </w:t>
      </w:r>
    </w:p>
    <w:p w14:paraId="33E1DFCF" w14:textId="24A9E150" w:rsidR="00B22368" w:rsidRDefault="00B22368" w:rsidP="001033C9">
      <w:pPr>
        <w:spacing w:before="100" w:beforeAutospacing="1" w:after="100" w:afterAutospacing="1" w:line="240" w:lineRule="auto"/>
        <w:rPr>
          <w:rFonts w:ascii="Times New Roman" w:eastAsia="Times New Roman" w:hAnsi="Times New Roman" w:cs="Times New Roman"/>
          <w:color w:val="000000"/>
          <w:kern w:val="0"/>
          <w:lang w:val="en-GB" w:eastAsia="sv-SE"/>
          <w14:ligatures w14:val="none"/>
        </w:rPr>
      </w:pPr>
    </w:p>
    <w:p w14:paraId="03A306D3" w14:textId="77777777" w:rsidR="00B45C7D" w:rsidRPr="00FC0654" w:rsidRDefault="00B45C7D">
      <w:pPr>
        <w:rPr>
          <w:lang w:val="en-US"/>
        </w:rPr>
      </w:pPr>
    </w:p>
    <w:sectPr w:rsidR="00B45C7D" w:rsidRPr="00FC06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C9"/>
    <w:rsid w:val="001033C9"/>
    <w:rsid w:val="00116079"/>
    <w:rsid w:val="00436F89"/>
    <w:rsid w:val="00455FFF"/>
    <w:rsid w:val="00471A50"/>
    <w:rsid w:val="00613653"/>
    <w:rsid w:val="006366CA"/>
    <w:rsid w:val="0064123C"/>
    <w:rsid w:val="00880CB2"/>
    <w:rsid w:val="00931B18"/>
    <w:rsid w:val="00987360"/>
    <w:rsid w:val="00B22368"/>
    <w:rsid w:val="00B45C7D"/>
    <w:rsid w:val="00D9640C"/>
    <w:rsid w:val="00E01BF0"/>
    <w:rsid w:val="00E6248D"/>
    <w:rsid w:val="00F2247B"/>
    <w:rsid w:val="00FC06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9AB21FB"/>
  <w15:chartTrackingRefBased/>
  <w15:docId w15:val="{76732DD7-DAE5-D942-9D1B-61CF34AD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033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033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033C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033C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033C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033C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033C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033C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033C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033C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033C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033C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033C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033C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033C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033C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033C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033C9"/>
    <w:rPr>
      <w:rFonts w:eastAsiaTheme="majorEastAsia" w:cstheme="majorBidi"/>
      <w:color w:val="272727" w:themeColor="text1" w:themeTint="D8"/>
    </w:rPr>
  </w:style>
  <w:style w:type="paragraph" w:styleId="Rubrik">
    <w:name w:val="Title"/>
    <w:basedOn w:val="Normal"/>
    <w:next w:val="Normal"/>
    <w:link w:val="RubrikChar"/>
    <w:uiPriority w:val="10"/>
    <w:qFormat/>
    <w:rsid w:val="001033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33C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033C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033C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033C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033C9"/>
    <w:rPr>
      <w:i/>
      <w:iCs/>
      <w:color w:val="404040" w:themeColor="text1" w:themeTint="BF"/>
    </w:rPr>
  </w:style>
  <w:style w:type="paragraph" w:styleId="Liststycke">
    <w:name w:val="List Paragraph"/>
    <w:basedOn w:val="Normal"/>
    <w:uiPriority w:val="34"/>
    <w:qFormat/>
    <w:rsid w:val="001033C9"/>
    <w:pPr>
      <w:ind w:left="720"/>
      <w:contextualSpacing/>
    </w:pPr>
  </w:style>
  <w:style w:type="character" w:styleId="Starkbetoning">
    <w:name w:val="Intense Emphasis"/>
    <w:basedOn w:val="Standardstycketeckensnitt"/>
    <w:uiPriority w:val="21"/>
    <w:qFormat/>
    <w:rsid w:val="001033C9"/>
    <w:rPr>
      <w:i/>
      <w:iCs/>
      <w:color w:val="0F4761" w:themeColor="accent1" w:themeShade="BF"/>
    </w:rPr>
  </w:style>
  <w:style w:type="paragraph" w:styleId="Starktcitat">
    <w:name w:val="Intense Quote"/>
    <w:basedOn w:val="Normal"/>
    <w:next w:val="Normal"/>
    <w:link w:val="StarktcitatChar"/>
    <w:uiPriority w:val="30"/>
    <w:qFormat/>
    <w:rsid w:val="001033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033C9"/>
    <w:rPr>
      <w:i/>
      <w:iCs/>
      <w:color w:val="0F4761" w:themeColor="accent1" w:themeShade="BF"/>
    </w:rPr>
  </w:style>
  <w:style w:type="character" w:styleId="Starkreferens">
    <w:name w:val="Intense Reference"/>
    <w:basedOn w:val="Standardstycketeckensnitt"/>
    <w:uiPriority w:val="32"/>
    <w:qFormat/>
    <w:rsid w:val="001033C9"/>
    <w:rPr>
      <w:b/>
      <w:bCs/>
      <w:smallCaps/>
      <w:color w:val="0F4761" w:themeColor="accent1" w:themeShade="BF"/>
      <w:spacing w:val="5"/>
    </w:rPr>
  </w:style>
  <w:style w:type="character" w:styleId="Stark">
    <w:name w:val="Strong"/>
    <w:basedOn w:val="Standardstycketeckensnitt"/>
    <w:uiPriority w:val="22"/>
    <w:qFormat/>
    <w:rsid w:val="001033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12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2342</Characters>
  <Application>Microsoft Office Word</Application>
  <DocSecurity>0</DocSecurity>
  <Lines>30</Lines>
  <Paragraphs>35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Svenungsson</dc:creator>
  <cp:keywords/>
  <dc:description/>
  <cp:lastModifiedBy>Hege Irene Markussen</cp:lastModifiedBy>
  <cp:revision>3</cp:revision>
  <dcterms:created xsi:type="dcterms:W3CDTF">2025-05-19T17:37:00Z</dcterms:created>
  <dcterms:modified xsi:type="dcterms:W3CDTF">2025-05-19T17:37:00Z</dcterms:modified>
</cp:coreProperties>
</file>