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19E0" w14:textId="77777777" w:rsidR="00161EE0" w:rsidRDefault="00815AE5">
      <w:pPr>
        <w:pStyle w:val="Default"/>
        <w:spacing w:line="288" w:lineRule="auto"/>
        <w:rPr>
          <w:rFonts w:ascii="DejaVu Serif" w:hAnsi="DejaVu Serif" w:hint="eastAsia"/>
          <w:i/>
          <w:sz w:val="21"/>
          <w:szCs w:val="21"/>
        </w:rPr>
      </w:pPr>
      <w:r>
        <w:rPr>
          <w:rFonts w:ascii="DejaVu Serif" w:hAnsi="DejaVu Serif"/>
          <w:i/>
          <w:sz w:val="21"/>
          <w:szCs w:val="21"/>
        </w:rPr>
        <w:t>Department of Arts and Cultural Sciences</w:t>
      </w:r>
    </w:p>
    <w:p w14:paraId="637A87EE" w14:textId="77777777" w:rsidR="00161EE0" w:rsidRDefault="00815AE5">
      <w:pPr>
        <w:pStyle w:val="Default"/>
        <w:spacing w:line="288" w:lineRule="auto"/>
        <w:rPr>
          <w:rFonts w:ascii="DejaVu Serif" w:hAnsi="DejaVu Serif" w:hint="eastAsia"/>
          <w:i/>
          <w:sz w:val="21"/>
          <w:szCs w:val="21"/>
        </w:rPr>
      </w:pPr>
      <w:r>
        <w:rPr>
          <w:rFonts w:ascii="DejaVu Serif" w:hAnsi="DejaVu Serif"/>
          <w:i/>
          <w:sz w:val="21"/>
          <w:szCs w:val="21"/>
        </w:rPr>
        <w:t>Division of ALM</w:t>
      </w:r>
    </w:p>
    <w:p w14:paraId="6EBDA254" w14:textId="77777777" w:rsidR="00161EE0" w:rsidRDefault="00161EE0">
      <w:pPr>
        <w:pStyle w:val="Default"/>
        <w:spacing w:line="288" w:lineRule="auto"/>
        <w:rPr>
          <w:rFonts w:ascii="DejaVu Serif" w:hAnsi="DejaVu Serif" w:hint="eastAsia"/>
        </w:rPr>
      </w:pPr>
    </w:p>
    <w:p w14:paraId="7C096DCB" w14:textId="609893C8" w:rsidR="00161EE0" w:rsidRDefault="00815AE5">
      <w:pPr>
        <w:pStyle w:val="Default"/>
        <w:spacing w:line="288" w:lineRule="auto"/>
      </w:pPr>
      <w:r>
        <w:rPr>
          <w:rFonts w:ascii="DejaVu Serif" w:hAnsi="DejaVu Serif"/>
          <w:sz w:val="21"/>
          <w:szCs w:val="21"/>
        </w:rPr>
        <w:t xml:space="preserve">Approved by the syllabus committee: </w:t>
      </w:r>
      <w:r w:rsidR="00BC51DD">
        <w:rPr>
          <w:rFonts w:ascii="DejaVu Serif" w:hAnsi="DejaVu Serif"/>
          <w:sz w:val="21"/>
          <w:szCs w:val="21"/>
        </w:rPr>
        <w:t>2020.06.04</w:t>
      </w:r>
    </w:p>
    <w:p w14:paraId="10C5F990" w14:textId="77777777" w:rsidR="00161EE0" w:rsidRDefault="00161EE0">
      <w:pPr>
        <w:pStyle w:val="Sidhuv"/>
        <w:rPr>
          <w:rFonts w:ascii="DejaVu Sans" w:hAnsi="DejaVu Sans" w:cs="Helvetica"/>
          <w:b/>
          <w:bCs/>
          <w:color w:val="000000"/>
          <w:sz w:val="32"/>
          <w:szCs w:val="32"/>
        </w:rPr>
      </w:pPr>
    </w:p>
    <w:p w14:paraId="1603C3AF" w14:textId="64D6820E" w:rsidR="00161EE0" w:rsidRDefault="00815AE5">
      <w:pPr>
        <w:pStyle w:val="Sidhuv"/>
      </w:pPr>
      <w:r>
        <w:rPr>
          <w:rFonts w:ascii="DejaVu Sans" w:hAnsi="DejaVu Sans" w:cs="Helvetica"/>
          <w:b/>
          <w:bCs/>
          <w:color w:val="000000"/>
        </w:rPr>
        <w:t xml:space="preserve">1/ Academic </w:t>
      </w:r>
      <w:r w:rsidR="00DE6D35">
        <w:rPr>
          <w:rFonts w:ascii="DejaVu Sans" w:hAnsi="DejaVu Sans" w:cs="Helvetica"/>
          <w:b/>
          <w:bCs/>
          <w:color w:val="000000"/>
        </w:rPr>
        <w:t>Literature and Statements (522p</w:t>
      </w:r>
      <w:r>
        <w:rPr>
          <w:rFonts w:ascii="DejaVu Sans" w:hAnsi="DejaVu Sans" w:cs="Helvetica"/>
          <w:b/>
          <w:bCs/>
          <w:color w:val="000000"/>
        </w:rPr>
        <w:t>)</w:t>
      </w:r>
    </w:p>
    <w:p w14:paraId="2976D729" w14:textId="3509570E" w:rsidR="00161EE0" w:rsidRDefault="00815AE5">
      <w:r>
        <w:rPr>
          <w:rFonts w:ascii="DejaVu Serif" w:hAnsi="DejaVu Serif"/>
          <w:color w:val="000000"/>
          <w:sz w:val="21"/>
          <w:szCs w:val="21"/>
        </w:rPr>
        <w:t xml:space="preserve">Daubs, Michael S. (2017). ‘HTML5, Digital Rights Management (DRM), and the Rhetoric of Openness’. In </w:t>
      </w:r>
      <w:r>
        <w:rPr>
          <w:rFonts w:ascii="DejaVu Serif" w:hAnsi="DejaVu Serif"/>
          <w:i/>
          <w:color w:val="000000"/>
          <w:sz w:val="21"/>
          <w:szCs w:val="21"/>
        </w:rPr>
        <w:t>Journal of Media Critiques</w:t>
      </w:r>
      <w:r>
        <w:rPr>
          <w:rFonts w:ascii="DejaVu Serif" w:hAnsi="DejaVu Serif"/>
          <w:color w:val="000000"/>
          <w:sz w:val="21"/>
          <w:szCs w:val="21"/>
        </w:rPr>
        <w:t xml:space="preserve"> 3, no. 9: 77–</w:t>
      </w:r>
      <w:r w:rsidR="00DE6D35">
        <w:rPr>
          <w:rFonts w:ascii="DejaVu Serif" w:hAnsi="DejaVu Serif"/>
          <w:color w:val="000000"/>
          <w:sz w:val="21"/>
          <w:szCs w:val="21"/>
        </w:rPr>
        <w:t>94. ISSN number 1758-5899. (18p</w:t>
      </w:r>
      <w:r>
        <w:rPr>
          <w:rFonts w:ascii="DejaVu Serif" w:hAnsi="DejaVu Serif"/>
          <w:color w:val="000000"/>
          <w:sz w:val="21"/>
          <w:szCs w:val="21"/>
        </w:rPr>
        <w:t xml:space="preserve">). Accessible via: </w:t>
      </w:r>
      <w:hyperlink r:id="rId9">
        <w:r>
          <w:rPr>
            <w:rStyle w:val="InternetLink"/>
            <w:rFonts w:ascii="DejaVu Serif" w:hAnsi="DejaVu Serif"/>
            <w:color w:val="3333FF"/>
            <w:sz w:val="21"/>
            <w:szCs w:val="21"/>
          </w:rPr>
          <w:t>http://doi.org/10.17349/jmc117106</w:t>
        </w:r>
      </w:hyperlink>
      <w:r>
        <w:rPr>
          <w:rFonts w:ascii="DejaVu Serif" w:hAnsi="DejaVu Serif"/>
          <w:color w:val="000000"/>
          <w:sz w:val="21"/>
          <w:szCs w:val="21"/>
        </w:rPr>
        <w:t>.</w:t>
      </w:r>
    </w:p>
    <w:p w14:paraId="4F28F76A" w14:textId="1B5C804A" w:rsidR="00161EE0" w:rsidRDefault="00815AE5">
      <w:r>
        <w:rPr>
          <w:rFonts w:ascii="DejaVu Serif" w:hAnsi="DejaVu Serif"/>
          <w:color w:val="000000"/>
          <w:sz w:val="21"/>
          <w:szCs w:val="21"/>
        </w:rPr>
        <w:t xml:space="preserve">David, M., and D.J. Halbert (2017). ‘Intellectual Property &amp; Global Policy’. In </w:t>
      </w:r>
      <w:r>
        <w:rPr>
          <w:rFonts w:ascii="DejaVu Serif" w:hAnsi="DejaVu Serif"/>
          <w:i/>
          <w:color w:val="000000"/>
          <w:sz w:val="21"/>
          <w:szCs w:val="21"/>
        </w:rPr>
        <w:t>Global Policy</w:t>
      </w:r>
      <w:r>
        <w:rPr>
          <w:rFonts w:ascii="DejaVu Serif" w:hAnsi="DejaVu Serif"/>
          <w:color w:val="000000"/>
          <w:sz w:val="21"/>
          <w:szCs w:val="21"/>
        </w:rPr>
        <w:t xml:space="preserve"> 8, no. 2: 149–</w:t>
      </w:r>
      <w:r w:rsidR="00DE6D35">
        <w:rPr>
          <w:rFonts w:ascii="DejaVu Serif" w:hAnsi="DejaVu Serif"/>
          <w:color w:val="000000"/>
          <w:sz w:val="21"/>
          <w:szCs w:val="21"/>
        </w:rPr>
        <w:t>58. ISSN number 1758-5899. (10p</w:t>
      </w:r>
      <w:r>
        <w:rPr>
          <w:rFonts w:ascii="DejaVu Serif" w:hAnsi="DejaVu Serif"/>
          <w:color w:val="000000"/>
          <w:sz w:val="21"/>
          <w:szCs w:val="21"/>
        </w:rPr>
        <w:t xml:space="preserve">). Accessible via: </w:t>
      </w:r>
      <w:hyperlink r:id="rId10">
        <w:r>
          <w:rPr>
            <w:rStyle w:val="InternetLink"/>
            <w:rFonts w:ascii="DejaVu Serif" w:hAnsi="DejaVu Serif"/>
            <w:color w:val="3333FF"/>
            <w:sz w:val="21"/>
            <w:szCs w:val="21"/>
          </w:rPr>
          <w:t>http://doi.org/10.1111/1758-5899.12381</w:t>
        </w:r>
      </w:hyperlink>
      <w:r>
        <w:rPr>
          <w:rFonts w:ascii="DejaVu Serif" w:hAnsi="DejaVu Serif"/>
          <w:color w:val="000000"/>
          <w:sz w:val="21"/>
          <w:szCs w:val="21"/>
        </w:rPr>
        <w:t>.</w:t>
      </w:r>
    </w:p>
    <w:p w14:paraId="71A88E32" w14:textId="409C3FF0" w:rsidR="00161EE0" w:rsidRDefault="00815AE5">
      <w:r>
        <w:rPr>
          <w:rFonts w:ascii="DejaVu Serif" w:hAnsi="DejaVu Serif"/>
          <w:color w:val="000000"/>
          <w:sz w:val="21"/>
          <w:szCs w:val="21"/>
        </w:rPr>
        <w:t xml:space="preserve">Davies, Philippa (2013). ‘Access v Contract. Competing Freedoms in the Context of Copyright Limitations and Exceptions for Libraries’. In </w:t>
      </w:r>
      <w:r>
        <w:rPr>
          <w:rFonts w:ascii="DejaVu Serif" w:hAnsi="DejaVu Serif"/>
          <w:i/>
          <w:color w:val="000000"/>
          <w:sz w:val="21"/>
          <w:szCs w:val="21"/>
        </w:rPr>
        <w:t>Cahiers de La documentation–Bladen Voor Documentatie</w:t>
      </w:r>
      <w:r w:rsidR="00DE6D35">
        <w:rPr>
          <w:rFonts w:ascii="DejaVu Serif" w:hAnsi="DejaVu Serif"/>
          <w:color w:val="000000"/>
          <w:sz w:val="21"/>
          <w:szCs w:val="21"/>
        </w:rPr>
        <w:t xml:space="preserve"> 4: 13–31. (19p</w:t>
      </w:r>
      <w:r>
        <w:rPr>
          <w:rFonts w:ascii="DejaVu Serif" w:hAnsi="DejaVu Serif"/>
          <w:color w:val="000000"/>
          <w:sz w:val="21"/>
          <w:szCs w:val="21"/>
        </w:rPr>
        <w:t xml:space="preserve">). Accessible via: </w:t>
      </w:r>
      <w:hyperlink r:id="rId11">
        <w:r>
          <w:rPr>
            <w:rStyle w:val="InternetLink"/>
            <w:rFonts w:ascii="DejaVu Serif" w:hAnsi="DejaVu Serif"/>
            <w:color w:val="3333FF"/>
            <w:sz w:val="21"/>
            <w:szCs w:val="21"/>
          </w:rPr>
          <w:t>https://www.abd-bvd.be/wp-content/uploads/2013-4_Davies.pdf</w:t>
        </w:r>
      </w:hyperlink>
      <w:r>
        <w:rPr>
          <w:rFonts w:ascii="DejaVu Serif" w:hAnsi="DejaVu Serif"/>
          <w:color w:val="000000"/>
          <w:sz w:val="21"/>
          <w:szCs w:val="21"/>
        </w:rPr>
        <w:t>.</w:t>
      </w:r>
    </w:p>
    <w:p w14:paraId="6A641B8F" w14:textId="5305AAEF" w:rsidR="00161EE0" w:rsidRDefault="00815AE5">
      <w:r>
        <w:rPr>
          <w:rFonts w:ascii="DejaVu Serif" w:hAnsi="DejaVu Serif"/>
          <w:color w:val="000000"/>
          <w:sz w:val="21"/>
          <w:szCs w:val="21"/>
        </w:rPr>
        <w:t xml:space="preserve">El Said, Mohammed (2018). ‘Rethinking the Foundations of Intellectual Property: Applying Islamic Principles on Selected Contemporary IP Challenges’. </w:t>
      </w:r>
      <w:r>
        <w:rPr>
          <w:rFonts w:ascii="DejaVu Serif" w:hAnsi="DejaVu Serif"/>
          <w:i/>
          <w:color w:val="000000"/>
          <w:sz w:val="21"/>
          <w:szCs w:val="21"/>
        </w:rPr>
        <w:t>Kritika: Essays on Intellectual Property</w:t>
      </w:r>
      <w:r>
        <w:rPr>
          <w:rFonts w:ascii="DejaVu Serif" w:hAnsi="DejaVu Serif"/>
          <w:color w:val="000000"/>
          <w:sz w:val="21"/>
          <w:szCs w:val="21"/>
        </w:rPr>
        <w:t xml:space="preserve">, edited by Hanns Ullrich et al., vol. </w:t>
      </w:r>
      <w:r w:rsidR="00DE6D35">
        <w:rPr>
          <w:rFonts w:ascii="DejaVu Serif" w:hAnsi="DejaVu Serif"/>
          <w:color w:val="000000"/>
          <w:sz w:val="21"/>
          <w:szCs w:val="21"/>
        </w:rPr>
        <w:t>3, Cheltenham : Edward Elgar, p</w:t>
      </w:r>
      <w:r>
        <w:rPr>
          <w:rFonts w:ascii="DejaVu Serif" w:hAnsi="DejaVu Serif"/>
          <w:color w:val="000000"/>
          <w:sz w:val="21"/>
          <w:szCs w:val="21"/>
        </w:rPr>
        <w:t xml:space="preserve">. 94–131. ISBN number 9781788971157. (38pp). Accessible via </w:t>
      </w:r>
      <w:hyperlink r:id="rId12">
        <w:r>
          <w:rPr>
            <w:rStyle w:val="InternetLink"/>
            <w:rFonts w:ascii="DejaVu Serif" w:hAnsi="DejaVu Serif"/>
            <w:sz w:val="21"/>
            <w:szCs w:val="21"/>
          </w:rPr>
          <w:t>LUBSearch</w:t>
        </w:r>
      </w:hyperlink>
      <w:r>
        <w:rPr>
          <w:rFonts w:ascii="DejaVu Serif" w:hAnsi="DejaVu Serif"/>
          <w:color w:val="000000"/>
          <w:sz w:val="21"/>
          <w:szCs w:val="21"/>
        </w:rPr>
        <w:t>.</w:t>
      </w:r>
    </w:p>
    <w:p w14:paraId="1D821F7B" w14:textId="6CC49C3B" w:rsidR="00161EE0" w:rsidRDefault="00815AE5">
      <w:r>
        <w:rPr>
          <w:rFonts w:ascii="DejaVu Serif" w:hAnsi="DejaVu Serif"/>
          <w:color w:val="000000"/>
          <w:sz w:val="21"/>
          <w:szCs w:val="21"/>
        </w:rPr>
        <w:t xml:space="preserve">Forsyth, Miranda (2015). ‘Making Room for Magic in Intellectual Property Policy’. </w:t>
      </w:r>
      <w:r>
        <w:rPr>
          <w:rFonts w:ascii="DejaVu Serif" w:hAnsi="DejaVu Serif"/>
          <w:i/>
          <w:color w:val="000000"/>
          <w:sz w:val="21"/>
          <w:szCs w:val="21"/>
        </w:rPr>
        <w:t>Kritika: Essays on Intellectual Property</w:t>
      </w:r>
      <w:r>
        <w:rPr>
          <w:rFonts w:ascii="DejaVu Serif" w:hAnsi="DejaVu Serif"/>
          <w:color w:val="000000"/>
          <w:sz w:val="21"/>
          <w:szCs w:val="21"/>
        </w:rPr>
        <w:t>, edited by Peter Drahos et al., vol. 1, Cheltenham : Edward Elgar, pp. 84</w:t>
      </w:r>
      <w:r w:rsidR="00DE6D35">
        <w:rPr>
          <w:rFonts w:ascii="DejaVu Serif" w:hAnsi="DejaVu Serif"/>
          <w:color w:val="000000"/>
          <w:sz w:val="21"/>
          <w:szCs w:val="21"/>
        </w:rPr>
        <w:t>–113. ISBN: 9781784712051. (30p</w:t>
      </w:r>
      <w:r>
        <w:rPr>
          <w:rFonts w:ascii="DejaVu Serif" w:hAnsi="DejaVu Serif"/>
          <w:color w:val="000000"/>
          <w:sz w:val="21"/>
          <w:szCs w:val="21"/>
        </w:rPr>
        <w:t xml:space="preserve">). Accessible via </w:t>
      </w:r>
      <w:hyperlink r:id="rId13">
        <w:r>
          <w:rPr>
            <w:rStyle w:val="InternetLink"/>
            <w:rFonts w:ascii="DejaVu Serif" w:hAnsi="DejaVu Serif"/>
            <w:sz w:val="21"/>
            <w:szCs w:val="21"/>
          </w:rPr>
          <w:t>LUBSearch</w:t>
        </w:r>
      </w:hyperlink>
      <w:r>
        <w:rPr>
          <w:rFonts w:ascii="DejaVu Serif" w:hAnsi="DejaVu Serif"/>
          <w:color w:val="000000"/>
          <w:sz w:val="21"/>
          <w:szCs w:val="21"/>
        </w:rPr>
        <w:t>.</w:t>
      </w:r>
    </w:p>
    <w:p w14:paraId="23FE860E" w14:textId="2229CEB9" w:rsidR="00161EE0" w:rsidRDefault="00815AE5">
      <w:r>
        <w:rPr>
          <w:rFonts w:ascii="DejaVu Serif" w:hAnsi="DejaVu Serif"/>
          <w:sz w:val="21"/>
          <w:szCs w:val="21"/>
        </w:rPr>
        <w:t>Frosio, Giancarlo</w:t>
      </w:r>
      <w:r>
        <w:rPr>
          <w:rFonts w:ascii="DejaVu Serif" w:hAnsi="DejaVu Serif"/>
          <w:color w:val="000000"/>
          <w:sz w:val="21"/>
          <w:szCs w:val="21"/>
        </w:rPr>
        <w:t xml:space="preserve"> (2012). ‘Communia and the European Public Domain Project: A Politics of the Public Domain’. In </w:t>
      </w:r>
      <w:r>
        <w:rPr>
          <w:rFonts w:ascii="DejaVu Serif" w:hAnsi="DejaVu Serif"/>
          <w:i/>
          <w:color w:val="000000"/>
          <w:sz w:val="21"/>
          <w:szCs w:val="21"/>
        </w:rPr>
        <w:t>The Digital Public Domain: Foundations for an Open Culture</w:t>
      </w:r>
      <w:r>
        <w:rPr>
          <w:rFonts w:ascii="DejaVu Serif" w:hAnsi="DejaVu Serif"/>
          <w:color w:val="000000"/>
          <w:sz w:val="21"/>
          <w:szCs w:val="21"/>
        </w:rPr>
        <w:t>, edited by Melanie Dulong de Rosnay and Juan Carlos De Martin, 3–45. Cambridge: Open Book Publisher</w:t>
      </w:r>
      <w:r w:rsidR="00DE6D35">
        <w:rPr>
          <w:rFonts w:ascii="DejaVu Serif" w:hAnsi="DejaVu Serif"/>
          <w:color w:val="000000"/>
          <w:sz w:val="21"/>
          <w:szCs w:val="21"/>
        </w:rPr>
        <w:t>s. ISBN number 1906924465. (43p</w:t>
      </w:r>
      <w:r>
        <w:rPr>
          <w:rFonts w:ascii="DejaVu Serif" w:hAnsi="DejaVu Serif"/>
          <w:color w:val="000000"/>
          <w:sz w:val="21"/>
          <w:szCs w:val="21"/>
        </w:rPr>
        <w:t xml:space="preserve">). Accessible via: </w:t>
      </w:r>
      <w:hyperlink r:id="rId14">
        <w:r>
          <w:rPr>
            <w:rStyle w:val="InternetLink"/>
            <w:rFonts w:ascii="DejaVu Serif" w:hAnsi="DejaVu Serif"/>
            <w:color w:val="3333FF"/>
            <w:sz w:val="21"/>
            <w:szCs w:val="21"/>
          </w:rPr>
          <w:t>http://www.communia-association.org/wp-content/uploads/the_digital_public_domain.pdf</w:t>
        </w:r>
      </w:hyperlink>
      <w:r>
        <w:rPr>
          <w:rFonts w:ascii="DejaVu Serif" w:hAnsi="DejaVu Serif"/>
          <w:color w:val="000000"/>
          <w:sz w:val="21"/>
          <w:szCs w:val="21"/>
        </w:rPr>
        <w:t>.</w:t>
      </w:r>
    </w:p>
    <w:p w14:paraId="76698ECA" w14:textId="5BAA1B07" w:rsidR="00161EE0" w:rsidRDefault="00815AE5">
      <w:r>
        <w:rPr>
          <w:rFonts w:ascii="DejaVu Serif" w:hAnsi="DejaVu Serif"/>
          <w:color w:val="000000"/>
          <w:sz w:val="21"/>
          <w:szCs w:val="21"/>
        </w:rPr>
        <w:t xml:space="preserve">Hesse, Carla (2002). ‘The Rise of Intellectual Property, 700 B.C.-A.D. 2000: An Idea in the Balance’. In </w:t>
      </w:r>
      <w:r>
        <w:rPr>
          <w:rFonts w:ascii="DejaVu Serif" w:hAnsi="DejaVu Serif"/>
          <w:i/>
          <w:color w:val="000000"/>
          <w:sz w:val="21"/>
          <w:szCs w:val="21"/>
        </w:rPr>
        <w:t>Daedalus</w:t>
      </w:r>
      <w:r>
        <w:rPr>
          <w:rFonts w:ascii="DejaVu Serif" w:hAnsi="DejaVu Serif"/>
          <w:color w:val="000000"/>
          <w:sz w:val="21"/>
          <w:szCs w:val="21"/>
        </w:rPr>
        <w:t>, no. 2: 26–</w:t>
      </w:r>
      <w:r w:rsidR="00DE6D35">
        <w:rPr>
          <w:rFonts w:ascii="DejaVu Serif" w:hAnsi="DejaVu Serif"/>
          <w:color w:val="000000"/>
          <w:sz w:val="21"/>
          <w:szCs w:val="21"/>
        </w:rPr>
        <w:t>45. ISSN number 0011-5266. (20p</w:t>
      </w:r>
      <w:r>
        <w:rPr>
          <w:rFonts w:ascii="DejaVu Serif" w:hAnsi="DejaVu Serif"/>
          <w:color w:val="000000"/>
          <w:sz w:val="21"/>
          <w:szCs w:val="21"/>
        </w:rPr>
        <w:t xml:space="preserve">). Accessible via: </w:t>
      </w:r>
      <w:hyperlink r:id="rId15">
        <w:r>
          <w:rPr>
            <w:rStyle w:val="InternetLink"/>
            <w:rFonts w:ascii="DejaVu Serif" w:hAnsi="DejaVu Serif"/>
            <w:color w:val="3333FF"/>
            <w:sz w:val="21"/>
            <w:szCs w:val="21"/>
          </w:rPr>
          <w:t>http://www.jstor.org.ludwig.lub.lu.se/stable/20027756</w:t>
        </w:r>
      </w:hyperlink>
      <w:r>
        <w:rPr>
          <w:rFonts w:ascii="DejaVu Serif" w:hAnsi="DejaVu Serif"/>
          <w:color w:val="000000"/>
          <w:sz w:val="21"/>
          <w:szCs w:val="21"/>
        </w:rPr>
        <w:t>.</w:t>
      </w:r>
    </w:p>
    <w:p w14:paraId="4A97D511" w14:textId="2A8EDAA0" w:rsidR="00161EE0" w:rsidRDefault="00815AE5">
      <w:pPr>
        <w:pStyle w:val="BodyText"/>
      </w:pPr>
      <w:r>
        <w:rPr>
          <w:rFonts w:ascii="DejaVu Serif" w:hAnsi="DejaVu Serif"/>
          <w:color w:val="000000"/>
          <w:sz w:val="21"/>
          <w:szCs w:val="21"/>
        </w:rPr>
        <w:t xml:space="preserve">Hugenholtz, P. Bernt (2018). ‘Against “Data Property”’. In </w:t>
      </w:r>
      <w:r>
        <w:rPr>
          <w:rFonts w:ascii="DejaVu Serif" w:hAnsi="DejaVu Serif"/>
          <w:i/>
          <w:iCs/>
          <w:color w:val="000000"/>
          <w:sz w:val="21"/>
          <w:szCs w:val="21"/>
        </w:rPr>
        <w:t>Kritika: Essays on Intellectual Property</w:t>
      </w:r>
      <w:r>
        <w:rPr>
          <w:rFonts w:ascii="DejaVu Serif" w:hAnsi="DejaVu Serif"/>
          <w:color w:val="000000"/>
          <w:sz w:val="21"/>
          <w:szCs w:val="21"/>
        </w:rPr>
        <w:t xml:space="preserve">, edited by Hanns Ullrich et al., vol. 3. Cheltenham : Edward Elgar, 48-71. </w:t>
      </w:r>
      <w:r w:rsidR="00DE6D35">
        <w:rPr>
          <w:rFonts w:ascii="DejaVu Serif" w:hAnsi="DejaVu Serif"/>
          <w:color w:val="000000"/>
          <w:sz w:val="21"/>
          <w:szCs w:val="21"/>
        </w:rPr>
        <w:t>ISBN number 9781788971157. (24p</w:t>
      </w:r>
      <w:r>
        <w:rPr>
          <w:rFonts w:ascii="DejaVu Serif" w:hAnsi="DejaVu Serif"/>
          <w:color w:val="000000"/>
          <w:sz w:val="21"/>
          <w:szCs w:val="21"/>
        </w:rPr>
        <w:t xml:space="preserve">) Accessible via </w:t>
      </w:r>
      <w:hyperlink r:id="rId16">
        <w:r>
          <w:rPr>
            <w:rStyle w:val="InternetLink"/>
            <w:rFonts w:ascii="DejaVu Serif" w:hAnsi="DejaVu Serif"/>
            <w:sz w:val="21"/>
            <w:szCs w:val="21"/>
          </w:rPr>
          <w:t>LUBSearch</w:t>
        </w:r>
      </w:hyperlink>
      <w:r>
        <w:rPr>
          <w:rFonts w:ascii="DejaVu Serif" w:hAnsi="DejaVu Serif"/>
          <w:color w:val="000000"/>
          <w:sz w:val="21"/>
          <w:szCs w:val="21"/>
        </w:rPr>
        <w:t>.</w:t>
      </w:r>
    </w:p>
    <w:p w14:paraId="3DD5C66A" w14:textId="763C03AF" w:rsidR="00161EE0" w:rsidRDefault="00815AE5">
      <w:r>
        <w:rPr>
          <w:rFonts w:ascii="DejaVu Serif" w:hAnsi="DejaVu Serif"/>
          <w:color w:val="000000"/>
          <w:sz w:val="21"/>
          <w:szCs w:val="21"/>
        </w:rPr>
        <w:lastRenderedPageBreak/>
        <w:t xml:space="preserve">Kapitzke, Cushla (2009). ‘Rethinking Copyrights for the Library through Creative Commons Licensing’. In </w:t>
      </w:r>
      <w:r>
        <w:rPr>
          <w:rFonts w:ascii="DejaVu Serif" w:hAnsi="DejaVu Serif"/>
          <w:i/>
          <w:color w:val="000000"/>
          <w:sz w:val="21"/>
          <w:szCs w:val="21"/>
        </w:rPr>
        <w:t>Library Trends</w:t>
      </w:r>
      <w:r>
        <w:rPr>
          <w:rFonts w:ascii="DejaVu Serif" w:hAnsi="DejaVu Serif"/>
          <w:color w:val="000000"/>
          <w:sz w:val="21"/>
          <w:szCs w:val="21"/>
        </w:rPr>
        <w:t xml:space="preserve"> 58, no. 1: 95–1</w:t>
      </w:r>
      <w:r w:rsidR="00DE6D35">
        <w:rPr>
          <w:rFonts w:ascii="DejaVu Serif" w:hAnsi="DejaVu Serif"/>
          <w:color w:val="000000"/>
          <w:sz w:val="21"/>
          <w:szCs w:val="21"/>
        </w:rPr>
        <w:t>08. ISSN number 0024-2594. (14p</w:t>
      </w:r>
      <w:r>
        <w:rPr>
          <w:rFonts w:ascii="DejaVu Serif" w:hAnsi="DejaVu Serif"/>
          <w:color w:val="000000"/>
          <w:sz w:val="21"/>
          <w:szCs w:val="21"/>
        </w:rPr>
        <w:t xml:space="preserve">). Accessible via: </w:t>
      </w:r>
      <w:hyperlink r:id="rId17">
        <w:r>
          <w:rPr>
            <w:rStyle w:val="InternetLink"/>
            <w:rFonts w:ascii="DejaVu Serif" w:hAnsi="DejaVu Serif"/>
            <w:color w:val="3333FF"/>
            <w:sz w:val="21"/>
            <w:szCs w:val="21"/>
          </w:rPr>
          <w:t>LUBSearch</w:t>
        </w:r>
      </w:hyperlink>
      <w:r>
        <w:rPr>
          <w:rFonts w:ascii="DejaVu Serif" w:hAnsi="DejaVu Serif"/>
          <w:color w:val="000000"/>
          <w:sz w:val="21"/>
          <w:szCs w:val="21"/>
        </w:rPr>
        <w:t>.</w:t>
      </w:r>
    </w:p>
    <w:p w14:paraId="4D29B729" w14:textId="77777777" w:rsidR="00161EE0" w:rsidRDefault="00815AE5">
      <w:r>
        <w:rPr>
          <w:rFonts w:ascii="DejaVu Serif" w:hAnsi="DejaVu Serif"/>
          <w:color w:val="000000"/>
          <w:sz w:val="21"/>
          <w:szCs w:val="21"/>
        </w:rPr>
        <w:t xml:space="preserve">Kretschmer, Martin (2019). ‘European copyright reform: Is it possible?’. Re;publica19, 6-7 May 2019, Berlin, </w:t>
      </w:r>
      <w:hyperlink r:id="rId18">
        <w:r>
          <w:rPr>
            <w:rStyle w:val="InternetLink"/>
            <w:rFonts w:ascii="DejaVu Serif" w:hAnsi="DejaVu Serif"/>
            <w:sz w:val="21"/>
            <w:szCs w:val="21"/>
          </w:rPr>
          <w:t>https://19.re-publica.com/en/session/european-copyright-reform-it-possible</w:t>
        </w:r>
      </w:hyperlink>
      <w:r>
        <w:rPr>
          <w:rFonts w:ascii="DejaVu Serif" w:hAnsi="DejaVu Serif"/>
          <w:color w:val="000000"/>
          <w:sz w:val="21"/>
          <w:szCs w:val="21"/>
        </w:rPr>
        <w:t xml:space="preserve"> (51:45 min). Video accessible via: YouTube, </w:t>
      </w:r>
      <w:hyperlink r:id="rId19">
        <w:r>
          <w:rPr>
            <w:rStyle w:val="InternetLink"/>
            <w:rFonts w:ascii="DejaVu Serif" w:hAnsi="DejaVu Serif"/>
            <w:sz w:val="21"/>
            <w:szCs w:val="21"/>
          </w:rPr>
          <w:t>https://www.youtube.com/watch?v=ZyujNlpxu9k</w:t>
        </w:r>
      </w:hyperlink>
      <w:r>
        <w:rPr>
          <w:rFonts w:ascii="DejaVu Serif" w:hAnsi="DejaVu Serif"/>
          <w:color w:val="000000"/>
          <w:sz w:val="21"/>
          <w:szCs w:val="21"/>
        </w:rPr>
        <w:t>, published 07.05.2019; the slides are available in Canvas.</w:t>
      </w:r>
    </w:p>
    <w:p w14:paraId="546473E3" w14:textId="29ABE5D6" w:rsidR="00161EE0" w:rsidRDefault="00815AE5">
      <w:r>
        <w:rPr>
          <w:rFonts w:ascii="DejaVu Serif" w:hAnsi="DejaVu Serif"/>
          <w:color w:val="000000"/>
          <w:sz w:val="21"/>
          <w:szCs w:val="21"/>
        </w:rPr>
        <w:t xml:space="preserve">Lessig, Lawrence (2008). </w:t>
      </w:r>
      <w:r>
        <w:rPr>
          <w:rFonts w:ascii="DejaVu Serif" w:hAnsi="DejaVu Serif"/>
          <w:i/>
          <w:color w:val="000000"/>
          <w:sz w:val="21"/>
          <w:szCs w:val="21"/>
        </w:rPr>
        <w:t>Remix: Making Art and Commerce Thrive in the Hybrid Economy</w:t>
      </w:r>
      <w:r>
        <w:rPr>
          <w:rFonts w:ascii="DejaVu Serif" w:hAnsi="DejaVu Serif"/>
          <w:color w:val="000000"/>
          <w:sz w:val="21"/>
          <w:szCs w:val="21"/>
        </w:rPr>
        <w:t>. London: Bloomsbury Academic. ISBN number 144</w:t>
      </w:r>
      <w:r w:rsidR="00DE6D35">
        <w:rPr>
          <w:rFonts w:ascii="DejaVu Serif" w:hAnsi="DejaVu Serif"/>
          <w:color w:val="000000"/>
          <w:sz w:val="21"/>
          <w:szCs w:val="21"/>
        </w:rPr>
        <w:t>0634629. (Selection of app. 40p</w:t>
      </w:r>
      <w:r>
        <w:rPr>
          <w:rFonts w:ascii="DejaVu Serif" w:hAnsi="DejaVu Serif"/>
          <w:color w:val="000000"/>
          <w:sz w:val="21"/>
          <w:szCs w:val="21"/>
        </w:rPr>
        <w:t xml:space="preserve">). Accessible via: </w:t>
      </w:r>
      <w:hyperlink r:id="rId20">
        <w:r>
          <w:rPr>
            <w:rStyle w:val="InternetLink"/>
            <w:rFonts w:ascii="DejaVu Serif" w:hAnsi="DejaVu Serif"/>
            <w:color w:val="3333FF"/>
            <w:sz w:val="21"/>
            <w:szCs w:val="21"/>
          </w:rPr>
          <w:t>https://archive.org/details/LawrenceLessigRemix</w:t>
        </w:r>
      </w:hyperlink>
      <w:r>
        <w:rPr>
          <w:rFonts w:ascii="DejaVu Serif" w:hAnsi="DejaVu Serif"/>
          <w:color w:val="000000"/>
          <w:sz w:val="21"/>
          <w:szCs w:val="21"/>
        </w:rPr>
        <w:t>.</w:t>
      </w:r>
    </w:p>
    <w:p w14:paraId="2CBEBD0F" w14:textId="1B060F5D" w:rsidR="00161EE0" w:rsidRDefault="00815AE5">
      <w:r>
        <w:rPr>
          <w:rFonts w:ascii="DejaVu Serif" w:hAnsi="DejaVu Serif"/>
          <w:color w:val="000000"/>
          <w:sz w:val="21"/>
          <w:szCs w:val="21"/>
        </w:rPr>
        <w:t xml:space="preserve">Losey, James (2014). ‘The Anti-Counterfeiting Trade Agreement and European Civil Society: A Case Study on Networked Advocacy’. In </w:t>
      </w:r>
      <w:r>
        <w:rPr>
          <w:rFonts w:ascii="DejaVu Serif" w:hAnsi="DejaVu Serif"/>
          <w:i/>
          <w:color w:val="000000"/>
          <w:sz w:val="21"/>
          <w:szCs w:val="21"/>
        </w:rPr>
        <w:t xml:space="preserve">Journal of Information Policy </w:t>
      </w:r>
      <w:r w:rsidR="00DE6D35">
        <w:rPr>
          <w:rFonts w:ascii="DejaVu Serif" w:hAnsi="DejaVu Serif"/>
          <w:color w:val="000000"/>
          <w:sz w:val="21"/>
          <w:szCs w:val="21"/>
        </w:rPr>
        <w:t>4, 205-227. (23p</w:t>
      </w:r>
      <w:r>
        <w:rPr>
          <w:rFonts w:ascii="DejaVu Serif" w:hAnsi="DejaVu Serif"/>
          <w:color w:val="000000"/>
          <w:sz w:val="21"/>
          <w:szCs w:val="21"/>
        </w:rPr>
        <w:t xml:space="preserve">). Accessible via: </w:t>
      </w:r>
      <w:hyperlink r:id="rId21">
        <w:r>
          <w:rPr>
            <w:rStyle w:val="InternetLink"/>
            <w:rFonts w:ascii="DejaVu Serif" w:hAnsi="DejaVu Serif"/>
            <w:color w:val="3333FF"/>
            <w:sz w:val="21"/>
            <w:szCs w:val="21"/>
          </w:rPr>
          <w:t>http://doi.org/10.5325/jinfopoli.4.2014.0205</w:t>
        </w:r>
      </w:hyperlink>
      <w:r>
        <w:rPr>
          <w:rFonts w:ascii="DejaVu Serif" w:hAnsi="DejaVu Serif"/>
          <w:color w:val="000000"/>
          <w:sz w:val="21"/>
          <w:szCs w:val="21"/>
        </w:rPr>
        <w:t>.</w:t>
      </w:r>
    </w:p>
    <w:p w14:paraId="2C67AA03" w14:textId="4A7D11FE" w:rsidR="00161EE0" w:rsidRDefault="00815AE5">
      <w:r>
        <w:rPr>
          <w:rFonts w:ascii="DejaVu Serif" w:hAnsi="DejaVu Serif"/>
          <w:color w:val="000000"/>
          <w:sz w:val="21"/>
          <w:szCs w:val="21"/>
        </w:rPr>
        <w:t xml:space="preserve">Mellot, Jean-Dominique (2007). ‘Counterfeit Printing as an Agent of Diffusion and Change: The French Book-Privilege System and Its Contradictions (1489-1790)’. In </w:t>
      </w:r>
      <w:r>
        <w:rPr>
          <w:rFonts w:ascii="DejaVu Serif" w:hAnsi="DejaVu Serif"/>
          <w:i/>
          <w:color w:val="000000"/>
          <w:sz w:val="21"/>
          <w:szCs w:val="21"/>
        </w:rPr>
        <w:t>Agent of Change: Print Culture Studies after Elizabeth L. Eisenstein</w:t>
      </w:r>
      <w:r>
        <w:rPr>
          <w:rFonts w:ascii="DejaVu Serif" w:hAnsi="DejaVu Serif"/>
          <w:color w:val="000000"/>
          <w:sz w:val="21"/>
          <w:szCs w:val="21"/>
        </w:rPr>
        <w:t>, edited by Sabrina Alcorn Baron et al., University of Massachusetts Press, pp. 42–6</w:t>
      </w:r>
      <w:r w:rsidR="00DE6D35">
        <w:rPr>
          <w:rFonts w:ascii="DejaVu Serif" w:hAnsi="DejaVu Serif"/>
          <w:color w:val="000000"/>
          <w:sz w:val="21"/>
          <w:szCs w:val="21"/>
        </w:rPr>
        <w:t>6. ISBN number 1558495932. (25p</w:t>
      </w:r>
      <w:r>
        <w:rPr>
          <w:rFonts w:ascii="DejaVu Serif" w:hAnsi="DejaVu Serif"/>
          <w:color w:val="000000"/>
          <w:sz w:val="21"/>
          <w:szCs w:val="21"/>
        </w:rPr>
        <w:t xml:space="preserve">). Accessible via </w:t>
      </w:r>
      <w:hyperlink r:id="rId22" w:anchor="v=onepage" w:history="1">
        <w:r>
          <w:rPr>
            <w:rStyle w:val="InternetLink"/>
            <w:rFonts w:ascii="DejaVu Serif" w:hAnsi="DejaVu Serif"/>
            <w:sz w:val="21"/>
            <w:szCs w:val="21"/>
          </w:rPr>
          <w:t>https://books.google.com/books?hl=en&amp;lr=&amp;id=gBmYsCKwz24C&amp;pg=PA42#v=onepage</w:t>
        </w:r>
      </w:hyperlink>
      <w:r>
        <w:rPr>
          <w:rFonts w:ascii="DejaVu Serif" w:hAnsi="DejaVu Serif"/>
          <w:color w:val="000000"/>
          <w:sz w:val="21"/>
          <w:szCs w:val="21"/>
        </w:rPr>
        <w:t>.</w:t>
      </w:r>
    </w:p>
    <w:p w14:paraId="1FF20C75" w14:textId="0DEE6F7C" w:rsidR="00161EE0" w:rsidRDefault="00815AE5">
      <w:r>
        <w:rPr>
          <w:rFonts w:ascii="DejaVu Serif" w:hAnsi="DejaVu Serif"/>
          <w:color w:val="000000"/>
          <w:sz w:val="21"/>
          <w:szCs w:val="21"/>
        </w:rPr>
        <w:t xml:space="preserve">Muzaka, V. (2013). ‘Contradictions, Frames and Reproductions: The Emergence of the WIPO Development Agenda’. In </w:t>
      </w:r>
      <w:r>
        <w:rPr>
          <w:rFonts w:ascii="DejaVu Serif" w:hAnsi="DejaVu Serif"/>
          <w:i/>
          <w:color w:val="000000"/>
          <w:sz w:val="21"/>
          <w:szCs w:val="21"/>
        </w:rPr>
        <w:t>Review of International Political Economy</w:t>
      </w:r>
      <w:r>
        <w:rPr>
          <w:rFonts w:ascii="DejaVu Serif" w:hAnsi="DejaVu Serif"/>
          <w:color w:val="000000"/>
          <w:sz w:val="21"/>
          <w:szCs w:val="21"/>
        </w:rPr>
        <w:t xml:space="preserve"> 20, no. 1: 215–2</w:t>
      </w:r>
      <w:r w:rsidR="00DE6D35">
        <w:rPr>
          <w:rFonts w:ascii="DejaVu Serif" w:hAnsi="DejaVu Serif"/>
          <w:color w:val="000000"/>
          <w:sz w:val="21"/>
          <w:szCs w:val="21"/>
        </w:rPr>
        <w:t>39. ISSN number 1466-4526. (24p</w:t>
      </w:r>
      <w:r>
        <w:rPr>
          <w:rFonts w:ascii="DejaVu Serif" w:hAnsi="DejaVu Serif"/>
          <w:color w:val="000000"/>
          <w:sz w:val="21"/>
          <w:szCs w:val="21"/>
        </w:rPr>
        <w:t xml:space="preserve">). Accessible via: </w:t>
      </w:r>
      <w:hyperlink r:id="rId23">
        <w:r>
          <w:rPr>
            <w:rStyle w:val="InternetLink"/>
            <w:rFonts w:ascii="DejaVu Serif" w:hAnsi="DejaVu Serif"/>
            <w:color w:val="3333FF"/>
            <w:sz w:val="21"/>
            <w:szCs w:val="21"/>
          </w:rPr>
          <w:t>http://doi.org/10.1080/09692290.2011.623111</w:t>
        </w:r>
      </w:hyperlink>
      <w:r>
        <w:rPr>
          <w:rFonts w:ascii="DejaVu Serif" w:hAnsi="DejaVu Serif"/>
          <w:color w:val="000000"/>
          <w:sz w:val="21"/>
          <w:szCs w:val="21"/>
        </w:rPr>
        <w:t>.</w:t>
      </w:r>
    </w:p>
    <w:p w14:paraId="23D4B667" w14:textId="62FFF93B" w:rsidR="00161EE0" w:rsidRDefault="00815AE5">
      <w:r>
        <w:rPr>
          <w:rFonts w:ascii="DejaVu Serif" w:hAnsi="DejaVu Serif"/>
          <w:color w:val="000000"/>
          <w:sz w:val="21"/>
          <w:szCs w:val="21"/>
        </w:rPr>
        <w:t>Pantalony, Rina Elster (2013). Chapter 4. In ‘WIPO Guide on Managing Intellectual Property for Museums’. World Intellectual Pro</w:t>
      </w:r>
      <w:r w:rsidR="00DE6D35">
        <w:rPr>
          <w:rFonts w:ascii="DejaVu Serif" w:hAnsi="DejaVu Serif"/>
          <w:color w:val="000000"/>
          <w:sz w:val="21"/>
          <w:szCs w:val="21"/>
        </w:rPr>
        <w:t>perty Organisation, 22-33. (12p</w:t>
      </w:r>
      <w:r>
        <w:rPr>
          <w:rFonts w:ascii="DejaVu Serif" w:hAnsi="DejaVu Serif"/>
          <w:color w:val="000000"/>
          <w:sz w:val="21"/>
          <w:szCs w:val="21"/>
        </w:rPr>
        <w:t xml:space="preserve">). Accessible via: </w:t>
      </w:r>
      <w:hyperlink r:id="rId24">
        <w:r>
          <w:rPr>
            <w:rStyle w:val="InternetLink"/>
            <w:rFonts w:ascii="DejaVu Serif" w:hAnsi="DejaVu Serif"/>
            <w:color w:val="3333FF"/>
            <w:sz w:val="21"/>
            <w:szCs w:val="21"/>
          </w:rPr>
          <w:t>http://www.wipo.int/edocs/pubdocs/en/copyright/1001/wipo_pub_1001.pdf</w:t>
        </w:r>
      </w:hyperlink>
      <w:r>
        <w:rPr>
          <w:rFonts w:ascii="DejaVu Serif" w:hAnsi="DejaVu Serif"/>
          <w:color w:val="000000"/>
          <w:sz w:val="21"/>
          <w:szCs w:val="21"/>
        </w:rPr>
        <w:t>.</w:t>
      </w:r>
    </w:p>
    <w:p w14:paraId="3266555A" w14:textId="28448F23" w:rsidR="00161EE0" w:rsidRDefault="00815AE5">
      <w:pPr>
        <w:pStyle w:val="BodyText"/>
      </w:pPr>
      <w:r>
        <w:rPr>
          <w:rFonts w:ascii="DejaVu Serif" w:hAnsi="DejaVu Serif"/>
          <w:color w:val="000000"/>
          <w:sz w:val="21"/>
          <w:szCs w:val="21"/>
        </w:rPr>
        <w:t>Petri, Grischka (2014). ‘The Public Domain vs. the Museum: The Limits of Copyright and Reproductions of Two-Dimensional Works of Art’. In J</w:t>
      </w:r>
      <w:r>
        <w:rPr>
          <w:rFonts w:ascii="DejaVu Serif" w:hAnsi="DejaVu Serif"/>
          <w:i/>
          <w:iCs/>
          <w:color w:val="000000"/>
          <w:sz w:val="21"/>
          <w:szCs w:val="21"/>
        </w:rPr>
        <w:t>ournal of Conservation and Museum Studies</w:t>
      </w:r>
      <w:r>
        <w:rPr>
          <w:rFonts w:ascii="DejaVu Serif" w:hAnsi="DejaVu Serif"/>
          <w:color w:val="000000"/>
          <w:sz w:val="21"/>
          <w:szCs w:val="21"/>
        </w:rPr>
        <w:t xml:space="preserve"> 12, no. 8: 1-</w:t>
      </w:r>
      <w:r w:rsidR="00DE6D35">
        <w:rPr>
          <w:rFonts w:ascii="DejaVu Serif" w:hAnsi="DejaVu Serif"/>
          <w:color w:val="000000"/>
          <w:sz w:val="21"/>
          <w:szCs w:val="21"/>
        </w:rPr>
        <w:t>12. ISSN number 2049-4572. (12p</w:t>
      </w:r>
      <w:r>
        <w:rPr>
          <w:rFonts w:ascii="DejaVu Serif" w:hAnsi="DejaVu Serif"/>
          <w:color w:val="000000"/>
          <w:sz w:val="21"/>
          <w:szCs w:val="21"/>
        </w:rPr>
        <w:t xml:space="preserve">). Accessible via: </w:t>
      </w:r>
      <w:hyperlink r:id="rId25">
        <w:r>
          <w:rPr>
            <w:rStyle w:val="InternetLink"/>
            <w:rFonts w:ascii="DejaVu Serif" w:hAnsi="DejaVu Serif"/>
            <w:color w:val="3333FF"/>
            <w:sz w:val="21"/>
            <w:szCs w:val="21"/>
          </w:rPr>
          <w:t>http://doi.org/10.5334/jcms.1021217</w:t>
        </w:r>
      </w:hyperlink>
      <w:r>
        <w:rPr>
          <w:rFonts w:ascii="DejaVu Serif" w:hAnsi="DejaVu Serif"/>
          <w:color w:val="000000"/>
          <w:sz w:val="21"/>
          <w:szCs w:val="21"/>
        </w:rPr>
        <w:t>.</w:t>
      </w:r>
    </w:p>
    <w:p w14:paraId="1AE51F8F" w14:textId="092580DF" w:rsidR="00161EE0" w:rsidRDefault="00815AE5">
      <w:r>
        <w:rPr>
          <w:rFonts w:ascii="DejaVu Serif" w:hAnsi="DejaVu Serif"/>
          <w:color w:val="000000"/>
          <w:sz w:val="21"/>
          <w:szCs w:val="21"/>
        </w:rPr>
        <w:t xml:space="preserve">Story, Alan (2003). ‘Burn Berne: Why the Leading International Copyright Convention Must Be Repealed’. In </w:t>
      </w:r>
      <w:r>
        <w:rPr>
          <w:rFonts w:ascii="DejaVu Serif" w:hAnsi="DejaVu Serif"/>
          <w:i/>
          <w:color w:val="000000"/>
          <w:sz w:val="21"/>
          <w:szCs w:val="21"/>
        </w:rPr>
        <w:t>Houston Law Review</w:t>
      </w:r>
      <w:r>
        <w:rPr>
          <w:rFonts w:ascii="DejaVu Serif" w:hAnsi="DejaVu Serif"/>
          <w:color w:val="000000"/>
          <w:sz w:val="21"/>
          <w:szCs w:val="21"/>
        </w:rPr>
        <w:t xml:space="preserve"> 40, no. 3: 763–8</w:t>
      </w:r>
      <w:r w:rsidR="00DE6D35">
        <w:rPr>
          <w:rFonts w:ascii="DejaVu Serif" w:hAnsi="DejaVu Serif"/>
          <w:color w:val="000000"/>
          <w:sz w:val="21"/>
          <w:szCs w:val="21"/>
        </w:rPr>
        <w:t>03. ISSN number 0018-6694. (41p</w:t>
      </w:r>
      <w:r>
        <w:rPr>
          <w:rFonts w:ascii="DejaVu Serif" w:hAnsi="DejaVu Serif"/>
          <w:color w:val="000000"/>
          <w:sz w:val="21"/>
          <w:szCs w:val="21"/>
        </w:rPr>
        <w:t xml:space="preserve">). Accessible via: </w:t>
      </w:r>
      <w:hyperlink r:id="rId26">
        <w:r>
          <w:rPr>
            <w:rStyle w:val="InternetLink"/>
            <w:rFonts w:ascii="DejaVu Serif" w:hAnsi="DejaVu Serif"/>
            <w:sz w:val="21"/>
            <w:szCs w:val="21"/>
          </w:rPr>
          <w:t>https://houstonlawreview.org/api/v1/articles/4815-burn-berne-why-the-leading-international-copyright-convention-must-be-repealed.pdf</w:t>
        </w:r>
      </w:hyperlink>
      <w:r>
        <w:rPr>
          <w:rStyle w:val="InternetLink"/>
          <w:rFonts w:ascii="DejaVu Serif" w:hAnsi="DejaVu Serif"/>
          <w:color w:val="000000"/>
          <w:sz w:val="21"/>
          <w:szCs w:val="21"/>
          <w:u w:val="none"/>
        </w:rPr>
        <w:t>.</w:t>
      </w:r>
      <w:r>
        <w:rPr>
          <w:rFonts w:ascii="DejaVu Serif" w:hAnsi="DejaVu Serif"/>
          <w:color w:val="000000"/>
          <w:sz w:val="21"/>
          <w:szCs w:val="21"/>
        </w:rPr>
        <w:t xml:space="preserve"> </w:t>
      </w:r>
    </w:p>
    <w:p w14:paraId="62F87DD3" w14:textId="2FA805B5" w:rsidR="00161EE0" w:rsidRDefault="00815AE5">
      <w:r>
        <w:rPr>
          <w:rFonts w:ascii="DejaVu Serif" w:hAnsi="DejaVu Serif"/>
          <w:color w:val="000000"/>
          <w:sz w:val="21"/>
          <w:szCs w:val="21"/>
        </w:rPr>
        <w:t xml:space="preserve">Tennant, Jonathan P., François Waldner, Damien C. Jacques, Paola Masuzzo, Lauren B. Collister, and Chris H. J. Hartgerink (2016). ‘The Academic, Economic and Societal Impacts of Open Access: An </w:t>
      </w:r>
      <w:r>
        <w:rPr>
          <w:rFonts w:ascii="DejaVu Serif" w:hAnsi="DejaVu Serif"/>
          <w:color w:val="000000"/>
          <w:sz w:val="21"/>
          <w:szCs w:val="21"/>
        </w:rPr>
        <w:lastRenderedPageBreak/>
        <w:t xml:space="preserve">Evidence-Based Review’. In </w:t>
      </w:r>
      <w:r>
        <w:rPr>
          <w:rFonts w:ascii="DejaVu Serif" w:hAnsi="DejaVu Serif"/>
          <w:i/>
          <w:color w:val="000000"/>
          <w:sz w:val="21"/>
          <w:szCs w:val="21"/>
        </w:rPr>
        <w:t>F1000Research</w:t>
      </w:r>
      <w:r>
        <w:rPr>
          <w:rFonts w:ascii="DejaVu Serif" w:hAnsi="DejaVu Serif"/>
          <w:color w:val="000000"/>
          <w:sz w:val="21"/>
          <w:szCs w:val="21"/>
        </w:rPr>
        <w:t xml:space="preserve"> 5, 632, 1-</w:t>
      </w:r>
      <w:r w:rsidR="00DE6D35">
        <w:rPr>
          <w:rFonts w:ascii="DejaVu Serif" w:hAnsi="DejaVu Serif"/>
          <w:color w:val="000000"/>
          <w:sz w:val="21"/>
          <w:szCs w:val="21"/>
        </w:rPr>
        <w:t>23. ISSN number 2046-1402. (23p</w:t>
      </w:r>
      <w:r>
        <w:rPr>
          <w:rFonts w:ascii="DejaVu Serif" w:hAnsi="DejaVu Serif"/>
          <w:color w:val="000000"/>
          <w:sz w:val="21"/>
          <w:szCs w:val="21"/>
        </w:rPr>
        <w:t xml:space="preserve">). Accessible via: </w:t>
      </w:r>
      <w:hyperlink r:id="rId27">
        <w:r>
          <w:rPr>
            <w:rStyle w:val="InternetLink"/>
            <w:rFonts w:ascii="DejaVu Serif" w:hAnsi="DejaVu Serif"/>
            <w:color w:val="3333FF"/>
            <w:sz w:val="21"/>
            <w:szCs w:val="21"/>
          </w:rPr>
          <w:t>http://doi.org/10.12688/f1000research.8460.3</w:t>
        </w:r>
      </w:hyperlink>
      <w:r>
        <w:rPr>
          <w:rFonts w:ascii="DejaVu Serif" w:hAnsi="DejaVu Serif"/>
          <w:color w:val="000000"/>
          <w:sz w:val="21"/>
          <w:szCs w:val="21"/>
        </w:rPr>
        <w:t xml:space="preserve">.  </w:t>
      </w:r>
    </w:p>
    <w:p w14:paraId="71FFEF6D" w14:textId="16229E96" w:rsidR="00161EE0" w:rsidRDefault="00815AE5">
      <w:r>
        <w:rPr>
          <w:rFonts w:ascii="DejaVu Serif" w:hAnsi="DejaVu Serif"/>
          <w:color w:val="000000"/>
          <w:sz w:val="21"/>
          <w:szCs w:val="21"/>
        </w:rPr>
        <w:t xml:space="preserve">Yar, M. (2008). ‘The Rhetorics and Myths of Anti-Piracy Campaigns: Criminalization, Moral Pedagogy and Capitalist Property Relations in the Classroom’. In </w:t>
      </w:r>
      <w:r>
        <w:rPr>
          <w:rFonts w:ascii="DejaVu Serif" w:hAnsi="DejaVu Serif"/>
          <w:i/>
          <w:color w:val="000000"/>
          <w:sz w:val="21"/>
          <w:szCs w:val="21"/>
        </w:rPr>
        <w:t>New Media &amp; Society</w:t>
      </w:r>
      <w:r>
        <w:rPr>
          <w:rFonts w:ascii="DejaVu Serif" w:hAnsi="DejaVu Serif"/>
          <w:color w:val="000000"/>
          <w:sz w:val="21"/>
          <w:szCs w:val="21"/>
        </w:rPr>
        <w:t xml:space="preserve"> 10, no. 4: 605–6</w:t>
      </w:r>
      <w:r w:rsidR="00DE6D35">
        <w:rPr>
          <w:rFonts w:ascii="DejaVu Serif" w:hAnsi="DejaVu Serif"/>
          <w:color w:val="000000"/>
          <w:sz w:val="21"/>
          <w:szCs w:val="21"/>
        </w:rPr>
        <w:t>23. ISSN number 1461-7315. (19p</w:t>
      </w:r>
      <w:r>
        <w:rPr>
          <w:rFonts w:ascii="DejaVu Serif" w:hAnsi="DejaVu Serif"/>
          <w:color w:val="000000"/>
          <w:sz w:val="21"/>
          <w:szCs w:val="21"/>
        </w:rPr>
        <w:t xml:space="preserve">). Accessible via: </w:t>
      </w:r>
      <w:hyperlink r:id="rId28">
        <w:r>
          <w:rPr>
            <w:rStyle w:val="InternetLink"/>
            <w:rFonts w:ascii="DejaVu Serif" w:hAnsi="DejaVu Serif"/>
            <w:color w:val="3333FF"/>
            <w:sz w:val="21"/>
            <w:szCs w:val="21"/>
          </w:rPr>
          <w:t>LUBSearch</w:t>
        </w:r>
      </w:hyperlink>
      <w:r>
        <w:rPr>
          <w:rFonts w:ascii="DejaVu Serif" w:hAnsi="DejaVu Serif"/>
          <w:color w:val="000000"/>
          <w:sz w:val="21"/>
          <w:szCs w:val="21"/>
        </w:rPr>
        <w:t>.</w:t>
      </w:r>
    </w:p>
    <w:p w14:paraId="02911865" w14:textId="77777777" w:rsidR="00161EE0" w:rsidRDefault="00161EE0">
      <w:pPr>
        <w:rPr>
          <w:rFonts w:ascii="DejaVu Serif" w:hAnsi="DejaVu Serif" w:hint="eastAsia"/>
          <w:b/>
          <w:bCs/>
        </w:rPr>
      </w:pPr>
    </w:p>
    <w:p w14:paraId="13618E78" w14:textId="5032018C" w:rsidR="00161EE0" w:rsidRDefault="00DE6D35">
      <w:r>
        <w:rPr>
          <w:rFonts w:ascii="DejaVu Serif" w:hAnsi="DejaVu Serif"/>
          <w:b/>
          <w:bCs/>
        </w:rPr>
        <w:t>2/ Official Documents (30</w:t>
      </w:r>
      <w:bookmarkStart w:id="0" w:name="_GoBack"/>
      <w:bookmarkEnd w:id="0"/>
      <w:r>
        <w:rPr>
          <w:rFonts w:ascii="DejaVu Serif" w:hAnsi="DejaVu Serif"/>
          <w:b/>
          <w:bCs/>
        </w:rPr>
        <w:t>p</w:t>
      </w:r>
      <w:r w:rsidR="00815AE5">
        <w:rPr>
          <w:rFonts w:ascii="DejaVu Serif" w:hAnsi="DejaVu Serif"/>
          <w:b/>
          <w:bCs/>
        </w:rPr>
        <w:t xml:space="preserve"> to select)</w:t>
      </w:r>
    </w:p>
    <w:p w14:paraId="20A358C8" w14:textId="77777777" w:rsidR="00161EE0" w:rsidRDefault="00815AE5">
      <w:r>
        <w:rPr>
          <w:rFonts w:ascii="DejaVu Serif" w:hAnsi="DejaVu Serif"/>
          <w:color w:val="000000"/>
          <w:sz w:val="21"/>
          <w:szCs w:val="21"/>
        </w:rPr>
        <w:t xml:space="preserve">This course concentrates on the academic discussions of which a majority reflect documents. Issued by organisations. It is recommended to read these documents referenced in the literature, and it is mandatory to read at least 30 pages of </w:t>
      </w:r>
      <w:r>
        <w:rPr>
          <w:rFonts w:ascii="DejaVu Serif" w:hAnsi="DejaVu Serif"/>
          <w:b/>
          <w:bCs/>
          <w:color w:val="000000"/>
          <w:sz w:val="21"/>
          <w:szCs w:val="21"/>
        </w:rPr>
        <w:t>(summaries of international) treaties and declarations</w:t>
      </w:r>
      <w:r>
        <w:rPr>
          <w:rFonts w:ascii="DejaVu Serif" w:hAnsi="DejaVu Serif"/>
          <w:color w:val="000000"/>
          <w:sz w:val="21"/>
          <w:szCs w:val="21"/>
        </w:rPr>
        <w:t xml:space="preserve"> as they are discussed in the lectures and in the literature, especially if they are featured repeatedly. You should select which documents to read in order to familiarise yourself with this type of document and to ground the argumentation of your final essay. You are required to cite relevant paragraphs. The documents, including short summaries, are available via one of the following websites:</w:t>
      </w:r>
    </w:p>
    <w:p w14:paraId="3591AA34" w14:textId="77777777" w:rsidR="00161EE0" w:rsidRDefault="00815AE5">
      <w:pPr>
        <w:pStyle w:val="BodyText"/>
      </w:pPr>
      <w:r>
        <w:rPr>
          <w:rFonts w:ascii="DejaVu Serif" w:hAnsi="DejaVu Serif"/>
          <w:color w:val="000000"/>
          <w:sz w:val="21"/>
          <w:szCs w:val="21"/>
        </w:rPr>
        <w:t xml:space="preserve">Brandeis University Research Guides, Copyright: International Copyright </w:t>
      </w:r>
      <w:hyperlink r:id="rId29">
        <w:r>
          <w:rPr>
            <w:rStyle w:val="InternetLink"/>
            <w:rFonts w:ascii="DejaVu Serif" w:hAnsi="DejaVu Serif"/>
            <w:color w:val="3333FF"/>
            <w:sz w:val="21"/>
            <w:szCs w:val="21"/>
          </w:rPr>
          <w:t>http://guides.library.brandeis.edu/c.php?g=301951&amp;p=2013599</w:t>
        </w:r>
      </w:hyperlink>
      <w:r>
        <w:rPr>
          <w:rFonts w:ascii="DejaVu Serif" w:hAnsi="DejaVu Serif"/>
          <w:color w:val="3333FF"/>
          <w:sz w:val="21"/>
          <w:szCs w:val="21"/>
        </w:rPr>
        <w:t xml:space="preserve"> </w:t>
      </w:r>
    </w:p>
    <w:p w14:paraId="303B538D" w14:textId="77777777" w:rsidR="00161EE0" w:rsidRDefault="00815AE5">
      <w:pPr>
        <w:pStyle w:val="BodyText"/>
      </w:pPr>
      <w:r>
        <w:rPr>
          <w:rFonts w:ascii="DejaVu Serif" w:hAnsi="DejaVu Serif"/>
          <w:color w:val="000000"/>
          <w:sz w:val="21"/>
          <w:szCs w:val="21"/>
        </w:rPr>
        <w:t xml:space="preserve">WIPO-Administered Treaties </w:t>
      </w:r>
      <w:hyperlink r:id="rId30">
        <w:r>
          <w:rPr>
            <w:rStyle w:val="InternetLink"/>
            <w:rFonts w:ascii="DejaVu Serif" w:hAnsi="DejaVu Serif"/>
            <w:color w:val="3333FF"/>
            <w:sz w:val="21"/>
            <w:szCs w:val="21"/>
          </w:rPr>
          <w:t>http://www.wipo.int/treaties/en/</w:t>
        </w:r>
      </w:hyperlink>
      <w:r>
        <w:rPr>
          <w:rFonts w:ascii="DejaVu Serif" w:hAnsi="DejaVu Serif"/>
          <w:color w:val="3333FF"/>
          <w:sz w:val="21"/>
          <w:szCs w:val="21"/>
        </w:rPr>
        <w:t xml:space="preserve"> </w:t>
      </w:r>
    </w:p>
    <w:p w14:paraId="6F0106B6" w14:textId="77777777" w:rsidR="00161EE0" w:rsidRDefault="00815AE5">
      <w:pPr>
        <w:pStyle w:val="BodyText"/>
      </w:pPr>
      <w:r>
        <w:rPr>
          <w:rFonts w:ascii="DejaVu Serif" w:hAnsi="DejaVu Serif"/>
          <w:color w:val="000000"/>
          <w:sz w:val="21"/>
          <w:szCs w:val="21"/>
        </w:rPr>
        <w:t xml:space="preserve">Knowledge Ecology International, The 1967 Stockholm Revision of the Berne Convention Protocol Regarding Developing Countries </w:t>
      </w:r>
      <w:hyperlink r:id="rId31">
        <w:r>
          <w:rPr>
            <w:rStyle w:val="InternetLink"/>
            <w:rFonts w:ascii="DejaVu Serif" w:hAnsi="DejaVu Serif"/>
            <w:color w:val="3333FF"/>
            <w:sz w:val="21"/>
            <w:szCs w:val="21"/>
          </w:rPr>
          <w:t>https://www.keionline.org/copyright/1967-stockholm-protocol</w:t>
        </w:r>
      </w:hyperlink>
      <w:r>
        <w:rPr>
          <w:rFonts w:ascii="DejaVu Serif" w:hAnsi="DejaVu Serif"/>
          <w:color w:val="3333FF"/>
          <w:sz w:val="21"/>
          <w:szCs w:val="21"/>
        </w:rPr>
        <w:t xml:space="preserve"> </w:t>
      </w:r>
    </w:p>
    <w:p w14:paraId="156B60B1" w14:textId="77777777" w:rsidR="00161EE0" w:rsidRDefault="00815AE5">
      <w:pPr>
        <w:pStyle w:val="BodyText"/>
      </w:pPr>
      <w:r>
        <w:rPr>
          <w:rFonts w:ascii="DejaVu Serif" w:hAnsi="DejaVu Serif"/>
          <w:color w:val="000000"/>
          <w:sz w:val="21"/>
          <w:szCs w:val="21"/>
        </w:rPr>
        <w:t xml:space="preserve">UK copyright service, The Universal Copyright Convention (UCC). </w:t>
      </w:r>
      <w:hyperlink r:id="rId32">
        <w:r>
          <w:rPr>
            <w:rStyle w:val="InternetLink"/>
            <w:rFonts w:ascii="DejaVu Serif" w:hAnsi="DejaVu Serif"/>
            <w:color w:val="3333FF"/>
            <w:sz w:val="21"/>
            <w:szCs w:val="21"/>
          </w:rPr>
          <w:t>https://www.copyrightservice.co.uk/copyright/p14_universal_copyright_convention</w:t>
        </w:r>
      </w:hyperlink>
      <w:r>
        <w:rPr>
          <w:rFonts w:ascii="DejaVu Serif" w:hAnsi="DejaVu Serif"/>
          <w:color w:val="3333FF"/>
          <w:sz w:val="21"/>
          <w:szCs w:val="21"/>
        </w:rPr>
        <w:t xml:space="preserve"> </w:t>
      </w:r>
    </w:p>
    <w:p w14:paraId="5369216B" w14:textId="77777777" w:rsidR="00161EE0" w:rsidRDefault="00815AE5">
      <w:pPr>
        <w:pStyle w:val="BodyText"/>
        <w:spacing w:before="170" w:after="0"/>
        <w:contextualSpacing/>
      </w:pPr>
      <w:r>
        <w:rPr>
          <w:rFonts w:ascii="DejaVu Serif" w:hAnsi="DejaVu Serif" w:cs="Times New Roman"/>
          <w:color w:val="000000"/>
          <w:sz w:val="21"/>
          <w:szCs w:val="21"/>
        </w:rPr>
        <w:t xml:space="preserve">WIPO Lex Database </w:t>
      </w:r>
      <w:hyperlink r:id="rId33">
        <w:r>
          <w:rPr>
            <w:rStyle w:val="InternetLink"/>
            <w:rFonts w:ascii="DejaVu Serif" w:hAnsi="DejaVu Serif" w:cs="Times New Roman"/>
            <w:color w:val="3333FF"/>
            <w:sz w:val="21"/>
            <w:szCs w:val="21"/>
          </w:rPr>
          <w:t>http://www.wipo.int/wipolex/en/</w:t>
        </w:r>
      </w:hyperlink>
      <w:r>
        <w:rPr>
          <w:rFonts w:ascii="DejaVu Serif" w:hAnsi="DejaVu Serif" w:cs="Times New Roman"/>
          <w:color w:val="3333FF"/>
          <w:sz w:val="21"/>
          <w:szCs w:val="21"/>
        </w:rPr>
        <w:t xml:space="preserve"> </w:t>
      </w:r>
    </w:p>
    <w:p w14:paraId="0333EBC7" w14:textId="77777777" w:rsidR="00161EE0" w:rsidRDefault="00161EE0">
      <w:pPr>
        <w:pStyle w:val="Sidhuv"/>
        <w:rPr>
          <w:rFonts w:ascii="DejaVu Sans" w:hAnsi="DejaVu Sans" w:cs="Helvetica"/>
          <w:bCs/>
          <w:color w:val="000000"/>
          <w:sz w:val="28"/>
          <w:szCs w:val="28"/>
        </w:rPr>
      </w:pPr>
    </w:p>
    <w:p w14:paraId="79E8E5F7" w14:textId="77777777" w:rsidR="00161EE0" w:rsidRDefault="006F3739">
      <w:pPr>
        <w:tabs>
          <w:tab w:val="center" w:pos="4536"/>
          <w:tab w:val="right" w:pos="9072"/>
        </w:tabs>
        <w:spacing w:before="0" w:after="140"/>
      </w:pPr>
      <w:r>
        <w:rPr>
          <w:rFonts w:ascii="DejaVu Sans" w:hAnsi="DejaVu Sans" w:cs="Helvetica"/>
          <w:b/>
        </w:rPr>
        <w:t>Total mandatory reading: 465 pages, plus 400</w:t>
      </w:r>
      <w:r w:rsidR="00815AE5">
        <w:rPr>
          <w:rFonts w:ascii="DejaVu Sans" w:hAnsi="DejaVu Sans" w:cs="Helvetica"/>
          <w:b/>
        </w:rPr>
        <w:t xml:space="preserve"> pages selected by the student</w:t>
      </w:r>
    </w:p>
    <w:sectPr w:rsidR="00161EE0">
      <w:headerReference w:type="default" r:id="rId34"/>
      <w:pgSz w:w="11906" w:h="16838"/>
      <w:pgMar w:top="4195" w:right="1417" w:bottom="1417" w:left="1417" w:header="708" w:footer="0" w:gutter="0"/>
      <w:cols w:space="720"/>
      <w:formProt w:val="0"/>
      <w:docGrid w:linePitch="24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74CC" w16cex:dateUtc="2020-06-04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BDEB34" w16cid:durableId="228374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86F55" w14:textId="77777777" w:rsidR="002E6751" w:rsidRDefault="002E6751">
      <w:pPr>
        <w:spacing w:before="0" w:after="0" w:line="240" w:lineRule="auto"/>
      </w:pPr>
      <w:r>
        <w:separator/>
      </w:r>
    </w:p>
  </w:endnote>
  <w:endnote w:type="continuationSeparator" w:id="0">
    <w:p w14:paraId="4665F4D3" w14:textId="77777777" w:rsidR="002E6751" w:rsidRDefault="002E67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DejaVu Serif">
    <w:altName w:val="Times New Roman"/>
    <w:charset w:val="01"/>
    <w:family w:val="roman"/>
    <w:pitch w:val="variable"/>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eeSans">
    <w:altName w:val="Times New Roman"/>
    <w:charset w:val="00"/>
    <w:family w:val="roman"/>
    <w:pitch w:val="default"/>
  </w:font>
  <w:font w:name="Noto Sans CJK SC Regular">
    <w:charset w:val="00"/>
    <w:family w:val="roman"/>
    <w:pitch w:val="default"/>
  </w:font>
  <w:font w:name="DejaVu Sans">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1BB8E" w14:textId="77777777" w:rsidR="002E6751" w:rsidRDefault="002E6751">
      <w:pPr>
        <w:spacing w:before="0" w:after="0" w:line="240" w:lineRule="auto"/>
      </w:pPr>
      <w:r>
        <w:separator/>
      </w:r>
    </w:p>
  </w:footnote>
  <w:footnote w:type="continuationSeparator" w:id="0">
    <w:p w14:paraId="06976854" w14:textId="77777777" w:rsidR="002E6751" w:rsidRDefault="002E67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53763" w14:textId="77777777" w:rsidR="00161EE0" w:rsidRDefault="00815AE5">
    <w:pPr>
      <w:pStyle w:val="Header"/>
    </w:pPr>
    <w:r>
      <w:rPr>
        <w:noProof/>
        <w:lang w:val="en-US" w:eastAsia="en-US"/>
      </w:rPr>
      <mc:AlternateContent>
        <mc:Choice Requires="wps">
          <w:drawing>
            <wp:anchor distT="0" distB="0" distL="114300" distR="114300" simplePos="0" relativeHeight="9" behindDoc="1" locked="0" layoutInCell="1" allowOverlap="1" wp14:anchorId="3A27BFFF" wp14:editId="586A5272">
              <wp:simplePos x="0" y="0"/>
              <wp:positionH relativeFrom="column">
                <wp:posOffset>1463040</wp:posOffset>
              </wp:positionH>
              <wp:positionV relativeFrom="paragraph">
                <wp:posOffset>6985</wp:posOffset>
              </wp:positionV>
              <wp:extent cx="4652645" cy="1980565"/>
              <wp:effectExtent l="0" t="0" r="0" b="9525"/>
              <wp:wrapThrough wrapText="bothSides">
                <wp:wrapPolygon edited="0">
                  <wp:start x="0" y="0"/>
                  <wp:lineTo x="0" y="21405"/>
                  <wp:lineTo x="21480" y="21405"/>
                  <wp:lineTo x="21480" y="0"/>
                  <wp:lineTo x="0" y="0"/>
                </wp:wrapPolygon>
              </wp:wrapThrough>
              <wp:docPr id="1" name="Textruta 3"/>
              <wp:cNvGraphicFramePr/>
              <a:graphic xmlns:a="http://schemas.openxmlformats.org/drawingml/2006/main">
                <a:graphicData uri="http://schemas.microsoft.com/office/word/2010/wordprocessingShape">
                  <wps:wsp>
                    <wps:cNvSpPr/>
                    <wps:spPr>
                      <a:xfrm>
                        <a:off x="0" y="0"/>
                        <a:ext cx="4651920" cy="19800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E4CD01C" w14:textId="77777777" w:rsidR="00161EE0" w:rsidRDefault="00161EE0">
                          <w:pPr>
                            <w:pStyle w:val="FrameContents"/>
                            <w:rPr>
                              <w:color w:val="000000"/>
                            </w:rPr>
                          </w:pPr>
                        </w:p>
                        <w:p w14:paraId="13D8C1B4" w14:textId="77777777" w:rsidR="00161EE0" w:rsidRDefault="00815AE5">
                          <w:pPr>
                            <w:pStyle w:val="FrameContents"/>
                          </w:pPr>
                          <w:r>
                            <w:rPr>
                              <w:b/>
                              <w:bCs/>
                              <w:color w:val="000000"/>
                              <w:sz w:val="32"/>
                              <w:szCs w:val="32"/>
                            </w:rPr>
                            <w:t>COURSE Resources</w:t>
                          </w:r>
                        </w:p>
                        <w:p w14:paraId="7D8BCFDB" w14:textId="77777777" w:rsidR="00161EE0" w:rsidRDefault="00815AE5">
                          <w:pPr>
                            <w:pStyle w:val="FrameContents"/>
                            <w:rPr>
                              <w:b/>
                              <w:bCs/>
                            </w:rPr>
                          </w:pPr>
                          <w:r>
                            <w:rPr>
                              <w:b/>
                              <w:bCs/>
                              <w:color w:val="000000"/>
                              <w:sz w:val="32"/>
                              <w:szCs w:val="32"/>
                            </w:rPr>
                            <w:t>ABMA18 – Intellectual Property and Digital Information: Law, Politics and Culture (7,5 ECTS)</w:t>
                          </w:r>
                        </w:p>
                      </w:txbxContent>
                    </wps:txbx>
                    <wps:bodyPr>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27BFFF" id="Textruta 3" o:spid="_x0000_s1026" style="position:absolute;margin-left:115.2pt;margin-top:.55pt;width:366.35pt;height:155.95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" stroked="f">
              <v:textbox>
                <w:txbxContent>
                  <w:p w14:paraId="6E4CD01C" w14:textId="77777777" w:rsidR="00161EE0" w:rsidRDefault="00161EE0">
                    <w:pPr>
                      <w:pStyle w:val="FrameContents"/>
                      <w:rPr>
                        <w:color w:val="000000"/>
                      </w:rPr>
                    </w:pPr>
                  </w:p>
                  <w:p w14:paraId="13D8C1B4" w14:textId="77777777" w:rsidR="00161EE0" w:rsidRDefault="00815AE5">
                    <w:pPr>
                      <w:pStyle w:val="FrameContents"/>
                    </w:pPr>
                    <w:r>
                      <w:rPr>
                        <w:b/>
                        <w:bCs/>
                        <w:color w:val="000000"/>
                        <w:sz w:val="32"/>
                        <w:szCs w:val="32"/>
                      </w:rPr>
                      <w:t>COURSE Resources</w:t>
                    </w:r>
                  </w:p>
                  <w:p w14:paraId="7D8BCFDB" w14:textId="77777777" w:rsidR="00161EE0" w:rsidRDefault="00815AE5">
                    <w:pPr>
                      <w:pStyle w:val="FrameContents"/>
                      <w:rPr>
                        <w:b/>
                        <w:bCs/>
                      </w:rPr>
                    </w:pPr>
                    <w:r>
                      <w:rPr>
                        <w:b/>
                        <w:bCs/>
                        <w:color w:val="000000"/>
                        <w:sz w:val="32"/>
                        <w:szCs w:val="32"/>
                      </w:rPr>
                      <w:t>ABMA18 – Intellectual Property and Digital Information: Law, Politics and Culture (7,5 ECTS)</w:t>
                    </w:r>
                  </w:p>
                </w:txbxContent>
              </v:textbox>
              <w10:wrap type="through"/>
            </v:rect>
          </w:pict>
        </mc:Fallback>
      </mc:AlternateContent>
    </w:r>
    <w:r>
      <w:rPr>
        <w:noProof/>
        <w:lang w:val="en-US" w:eastAsia="en-US"/>
      </w:rPr>
      <w:drawing>
        <wp:anchor distT="0" distB="635" distL="0" distR="127000" simplePos="0" relativeHeight="5" behindDoc="0" locked="0" layoutInCell="1" allowOverlap="1" wp14:anchorId="01E9C3BF" wp14:editId="0007322F">
          <wp:simplePos x="0" y="0"/>
          <wp:positionH relativeFrom="margin">
            <wp:align>left</wp:align>
          </wp:positionH>
          <wp:positionV relativeFrom="page">
            <wp:posOffset>352425</wp:posOffset>
          </wp:positionV>
          <wp:extent cx="1238250" cy="1637665"/>
          <wp:effectExtent l="0" t="0" r="0" b="0"/>
          <wp:wrapTight wrapText="bothSides">
            <wp:wrapPolygon edited="0">
              <wp:start x="-1062" y="0"/>
              <wp:lineTo x="-1062" y="20238"/>
              <wp:lineTo x="21175" y="20238"/>
              <wp:lineTo x="21175" y="0"/>
              <wp:lineTo x="-1062" y="0"/>
            </wp:wrapPolygon>
          </wp:wrapTight>
          <wp:docPr id="3" name="Bildobjekt 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lueng"/>
                  <pic:cNvPicPr>
                    <a:picLocks noChangeAspect="1" noChangeArrowheads="1"/>
                  </pic:cNvPicPr>
                </pic:nvPicPr>
                <pic:blipFill>
                  <a:blip r:embed="rId1"/>
                  <a:stretch>
                    <a:fillRect/>
                  </a:stretch>
                </pic:blipFill>
                <pic:spPr bwMode="auto">
                  <a:xfrm>
                    <a:off x="0" y="0"/>
                    <a:ext cx="1238250" cy="16376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E0"/>
    <w:rsid w:val="00161EE0"/>
    <w:rsid w:val="002E6751"/>
    <w:rsid w:val="00620A29"/>
    <w:rsid w:val="006F3739"/>
    <w:rsid w:val="00815AE5"/>
    <w:rsid w:val="00B052C9"/>
    <w:rsid w:val="00BC51DD"/>
    <w:rsid w:val="00DE6D3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2482"/>
  <w15:docId w15:val="{3D025024-1551-4A82-951C-A4D310F3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GB"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70" w:after="170" w:line="288" w:lineRule="auto"/>
    </w:pPr>
    <w:rPr>
      <w:rFonts w:ascii="Cambria" w:eastAsia="MS Mincho" w:hAnsi="Cambria" w:cs="Arial"/>
      <w:color w:val="00000A"/>
      <w:sz w:val="24"/>
    </w:rPr>
  </w:style>
  <w:style w:type="paragraph" w:styleId="Heading1">
    <w:name w:val="heading 1"/>
    <w:basedOn w:val="Normal"/>
    <w:qFormat/>
    <w:pPr>
      <w:widowControl w:val="0"/>
      <w:outlineLvl w:val="0"/>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qFormat/>
    <w:rsid w:val="009C481A"/>
    <w:rPr>
      <w:color w:val="0000FF" w:themeColor="hyperlink"/>
      <w:u w:val="single"/>
    </w:rPr>
  </w:style>
  <w:style w:type="character" w:styleId="FollowedHyperlink">
    <w:name w:val="FollowedHyperlink"/>
    <w:basedOn w:val="DefaultParagraphFont"/>
    <w:uiPriority w:val="99"/>
    <w:semiHidden/>
    <w:unhideWhenUsed/>
    <w:qFormat/>
    <w:rsid w:val="007B47E5"/>
    <w:rPr>
      <w:color w:val="800080" w:themeColor="followedHyperlink"/>
      <w:u w:val="single"/>
    </w:rPr>
  </w:style>
  <w:style w:type="character" w:customStyle="1" w:styleId="BalloonTextChar">
    <w:name w:val="Balloon Text Char"/>
    <w:basedOn w:val="DefaultParagraphFont"/>
    <w:link w:val="BalloonText"/>
    <w:uiPriority w:val="99"/>
    <w:semiHidden/>
    <w:qFormat/>
    <w:rsid w:val="006E6F71"/>
    <w:rPr>
      <w:rFonts w:ascii="Lucida Grande" w:hAnsi="Lucida Grande" w:cs="Lucida Grande"/>
      <w:sz w:val="18"/>
      <w:szCs w:val="18"/>
    </w:rPr>
  </w:style>
  <w:style w:type="character" w:customStyle="1" w:styleId="HeaderChar">
    <w:name w:val="Header Char"/>
    <w:basedOn w:val="DefaultParagraphFont"/>
    <w:link w:val="Header"/>
    <w:uiPriority w:val="99"/>
    <w:qFormat/>
    <w:rsid w:val="005D3BCE"/>
  </w:style>
  <w:style w:type="character" w:customStyle="1" w:styleId="FooterChar">
    <w:name w:val="Footer Char"/>
    <w:basedOn w:val="DefaultParagraphFont"/>
    <w:link w:val="Footer"/>
    <w:uiPriority w:val="99"/>
    <w:qFormat/>
    <w:rsid w:val="005D3BCE"/>
  </w:style>
  <w:style w:type="character" w:customStyle="1" w:styleId="VisitedInternetLink">
    <w:name w:val="Visited Internet Link"/>
    <w:qFormat/>
    <w:rPr>
      <w:color w:val="800000"/>
      <w:u w:val="single"/>
    </w:rPr>
  </w:style>
  <w:style w:type="character" w:customStyle="1" w:styleId="Internetlink0">
    <w:name w:val="Internetlink"/>
    <w:qFormat/>
    <w:rPr>
      <w:color w:val="000080"/>
      <w:u w:val="single"/>
    </w:rPr>
  </w:style>
  <w:style w:type="character" w:customStyle="1" w:styleId="BesuchterInternetlink">
    <w:name w:val="Besuchter Internetlink"/>
    <w:qFormat/>
    <w:rPr>
      <w:color w:val="800000"/>
      <w:u w:val="single"/>
    </w:rPr>
  </w:style>
  <w:style w:type="character" w:styleId="CommentReference">
    <w:name w:val="annotation reference"/>
    <w:basedOn w:val="DefaultParagraphFont"/>
    <w:uiPriority w:val="99"/>
    <w:semiHidden/>
    <w:unhideWhenUsed/>
    <w:qFormat/>
    <w:rsid w:val="00E155AF"/>
    <w:rPr>
      <w:sz w:val="16"/>
      <w:szCs w:val="16"/>
    </w:rPr>
  </w:style>
  <w:style w:type="character" w:customStyle="1" w:styleId="CommentTextChar">
    <w:name w:val="Comment Text Char"/>
    <w:basedOn w:val="DefaultParagraphFont"/>
    <w:link w:val="CommentText"/>
    <w:uiPriority w:val="99"/>
    <w:semiHidden/>
    <w:qFormat/>
    <w:rsid w:val="00E155AF"/>
    <w:rPr>
      <w:color w:val="00000A"/>
      <w:szCs w:val="20"/>
    </w:rPr>
  </w:style>
  <w:style w:type="character" w:customStyle="1" w:styleId="CommentSubjectChar">
    <w:name w:val="Comment Subject Char"/>
    <w:basedOn w:val="CommentTextChar"/>
    <w:link w:val="CommentSubject"/>
    <w:uiPriority w:val="99"/>
    <w:semiHidden/>
    <w:qFormat/>
    <w:rsid w:val="00E155AF"/>
    <w:rPr>
      <w:b/>
      <w:bCs/>
      <w:color w:val="00000A"/>
      <w:szCs w:val="20"/>
    </w:rPr>
  </w:style>
  <w:style w:type="character" w:customStyle="1" w:styleId="ListLabel1">
    <w:name w:val="ListLabel 1"/>
    <w:qFormat/>
    <w:rPr>
      <w:rFonts w:cs="Helvetica"/>
      <w:b/>
      <w:color w:val="000000"/>
    </w:rPr>
  </w:style>
  <w:style w:type="character" w:customStyle="1" w:styleId="ListLabel2">
    <w:name w:val="ListLabel 2"/>
    <w:qFormat/>
    <w:rPr>
      <w:rFonts w:ascii="DejaVu Serif" w:eastAsia="MS Mincho" w:hAnsi="DejaVu Serif" w:cs="Arial"/>
      <w:color w:val="3333FF"/>
      <w:sz w:val="21"/>
      <w:szCs w:val="21"/>
    </w:rPr>
  </w:style>
  <w:style w:type="character" w:customStyle="1" w:styleId="ListLabel3">
    <w:name w:val="ListLabel 3"/>
    <w:qFormat/>
    <w:rPr>
      <w:rFonts w:ascii="DejaVu Serif" w:hAnsi="DejaVu Serif"/>
      <w:color w:val="3333FF"/>
      <w:sz w:val="21"/>
      <w:szCs w:val="21"/>
    </w:rPr>
  </w:style>
  <w:style w:type="character" w:customStyle="1" w:styleId="ListLabel4">
    <w:name w:val="ListLabel 4"/>
    <w:qFormat/>
    <w:rPr>
      <w:rFonts w:ascii="DejaVu Serif" w:eastAsia="MS Mincho" w:hAnsi="DejaVu Serif" w:cs="Arial"/>
      <w:color w:val="3333FF"/>
      <w:sz w:val="21"/>
      <w:szCs w:val="21"/>
      <w:lang w:val="en-GB" w:eastAsia="sv-SE" w:bidi="ar-SA"/>
    </w:rPr>
  </w:style>
  <w:style w:type="character" w:customStyle="1" w:styleId="ListLabel5">
    <w:name w:val="ListLabel 5"/>
    <w:qFormat/>
    <w:rPr>
      <w:rFonts w:ascii="DejaVu Serif" w:hAnsi="DejaVu Serif" w:cs="Times New Roman"/>
      <w:color w:val="3333FF"/>
      <w:sz w:val="21"/>
      <w:szCs w:val="21"/>
    </w:rPr>
  </w:style>
  <w:style w:type="character" w:customStyle="1" w:styleId="ListLabel6">
    <w:name w:val="ListLabel 6"/>
    <w:qFormat/>
    <w:rPr>
      <w:rFonts w:ascii="DejaVu Serif" w:eastAsia="MS Mincho" w:hAnsi="DejaVu Serif" w:cs="Arial"/>
      <w:strike/>
      <w:color w:val="800000"/>
      <w:sz w:val="21"/>
      <w:szCs w:val="21"/>
    </w:rPr>
  </w:style>
  <w:style w:type="character" w:customStyle="1" w:styleId="ListLabel7">
    <w:name w:val="ListLabel 7"/>
    <w:qFormat/>
    <w:rPr>
      <w:rFonts w:ascii="DejaVu Serif" w:hAnsi="DejaVu Serif"/>
      <w:color w:val="3333FF"/>
      <w:sz w:val="21"/>
      <w:szCs w:val="21"/>
    </w:rPr>
  </w:style>
  <w:style w:type="character" w:customStyle="1" w:styleId="ListLabel8">
    <w:name w:val="ListLabel 8"/>
    <w:qFormat/>
    <w:rPr>
      <w:rFonts w:ascii="DejaVu Serif" w:eastAsia="MS Mincho" w:hAnsi="DejaVu Serif" w:cs="Arial"/>
      <w:color w:val="3333FF"/>
      <w:sz w:val="21"/>
      <w:szCs w:val="21"/>
    </w:rPr>
  </w:style>
  <w:style w:type="character" w:customStyle="1" w:styleId="ListLabel9">
    <w:name w:val="ListLabel 9"/>
    <w:qFormat/>
    <w:rPr>
      <w:rFonts w:ascii="DejaVu Serif" w:hAnsi="DejaVu Serif"/>
      <w:color w:val="000000"/>
      <w:sz w:val="21"/>
      <w:szCs w:val="21"/>
      <w:highlight w:val="yellow"/>
    </w:rPr>
  </w:style>
  <w:style w:type="character" w:customStyle="1" w:styleId="ListLabel10">
    <w:name w:val="ListLabel 10"/>
    <w:qFormat/>
    <w:rPr>
      <w:rFonts w:ascii="DejaVu Serif" w:hAnsi="DejaVu Serif"/>
      <w:color w:val="000000"/>
      <w:sz w:val="21"/>
      <w:szCs w:val="21"/>
    </w:rPr>
  </w:style>
  <w:style w:type="character" w:customStyle="1" w:styleId="ListLabel11">
    <w:name w:val="ListLabel 11"/>
    <w:qFormat/>
    <w:rPr>
      <w:rFonts w:ascii="DejaVu Serif" w:eastAsia="MS Mincho" w:hAnsi="DejaVu Serif" w:cs="Arial"/>
      <w:color w:val="3333FF"/>
      <w:sz w:val="21"/>
      <w:szCs w:val="21"/>
      <w:lang w:val="en-GB" w:eastAsia="sv-SE" w:bidi="ar-SA"/>
    </w:rPr>
  </w:style>
  <w:style w:type="character" w:customStyle="1" w:styleId="ListLabel12">
    <w:name w:val="ListLabel 12"/>
    <w:qFormat/>
    <w:rPr>
      <w:rFonts w:ascii="DejaVu Serif" w:hAnsi="DejaVu Serif" w:cs="Times New Roman"/>
      <w:color w:val="3333FF"/>
      <w:sz w:val="21"/>
      <w:szCs w:val="21"/>
    </w:rPr>
  </w:style>
  <w:style w:type="character" w:customStyle="1" w:styleId="ListLabel13">
    <w:name w:val="ListLabel 13"/>
    <w:qFormat/>
    <w:rPr>
      <w:rFonts w:ascii="DejaVu Serif" w:eastAsia="MS Mincho" w:hAnsi="DejaVu Serif" w:cs="Arial"/>
      <w:strike/>
      <w:color w:val="800000"/>
      <w:sz w:val="21"/>
      <w:szCs w:val="21"/>
    </w:rPr>
  </w:style>
  <w:style w:type="character" w:customStyle="1" w:styleId="ListLabel14">
    <w:name w:val="ListLabel 14"/>
    <w:qFormat/>
    <w:rPr>
      <w:rFonts w:ascii="DejaVu Serif" w:hAnsi="DejaVu Serif"/>
      <w:color w:val="3333FF"/>
      <w:sz w:val="21"/>
      <w:szCs w:val="21"/>
    </w:rPr>
  </w:style>
  <w:style w:type="character" w:customStyle="1" w:styleId="ListLabel15">
    <w:name w:val="ListLabel 15"/>
    <w:qFormat/>
    <w:rPr>
      <w:rFonts w:ascii="DejaVu Serif" w:eastAsia="MS Mincho" w:hAnsi="DejaVu Serif" w:cs="Arial"/>
      <w:color w:val="3333FF"/>
      <w:sz w:val="21"/>
      <w:szCs w:val="21"/>
    </w:rPr>
  </w:style>
  <w:style w:type="character" w:customStyle="1" w:styleId="ListLabel16">
    <w:name w:val="ListLabel 16"/>
    <w:qFormat/>
    <w:rPr>
      <w:rFonts w:ascii="DejaVu Serif" w:hAnsi="DejaVu Serif"/>
      <w:color w:val="000000"/>
      <w:sz w:val="21"/>
      <w:szCs w:val="21"/>
    </w:rPr>
  </w:style>
  <w:style w:type="character" w:customStyle="1" w:styleId="ListLabel17">
    <w:name w:val="ListLabel 17"/>
    <w:qFormat/>
    <w:rPr>
      <w:rFonts w:ascii="DejaVu Serif" w:hAnsi="DejaVu Serif"/>
      <w:b w:val="0"/>
      <w:bCs w:val="0"/>
      <w:color w:val="000000"/>
      <w:sz w:val="21"/>
      <w:szCs w:val="21"/>
      <w:highlight w:val="yellow"/>
    </w:rPr>
  </w:style>
  <w:style w:type="character" w:customStyle="1" w:styleId="ListLabel18">
    <w:name w:val="ListLabel 18"/>
    <w:qFormat/>
    <w:rPr>
      <w:rFonts w:ascii="DejaVu Serif" w:hAnsi="DejaVu Serif"/>
      <w:strike/>
      <w:color w:val="CE181E"/>
      <w:sz w:val="21"/>
      <w:szCs w:val="21"/>
    </w:rPr>
  </w:style>
  <w:style w:type="character" w:customStyle="1" w:styleId="ListLabel19">
    <w:name w:val="ListLabel 19"/>
    <w:qFormat/>
    <w:rPr>
      <w:rFonts w:ascii="DejaVu Serif" w:hAnsi="DejaVu Serif"/>
      <w:color w:val="000000"/>
      <w:sz w:val="21"/>
      <w:szCs w:val="21"/>
      <w:highlight w:val="yellow"/>
    </w:rPr>
  </w:style>
  <w:style w:type="character" w:customStyle="1" w:styleId="ListLabel20">
    <w:name w:val="ListLabel 20"/>
    <w:qFormat/>
    <w:rPr>
      <w:rFonts w:ascii="DejaVu Serif" w:hAnsi="DejaVu Serif"/>
      <w:color w:val="000000"/>
      <w:sz w:val="21"/>
      <w:szCs w:val="21"/>
    </w:rPr>
  </w:style>
  <w:style w:type="character" w:customStyle="1" w:styleId="ListLabel21">
    <w:name w:val="ListLabel 21"/>
    <w:qFormat/>
    <w:rPr>
      <w:rFonts w:ascii="DejaVu Serif" w:eastAsia="MS Mincho" w:hAnsi="DejaVu Serif" w:cs="Arial"/>
      <w:color w:val="3333FF"/>
      <w:sz w:val="21"/>
      <w:szCs w:val="21"/>
      <w:lang w:val="en-GB" w:eastAsia="sv-SE" w:bidi="ar-SA"/>
    </w:rPr>
  </w:style>
  <w:style w:type="character" w:customStyle="1" w:styleId="ListLabel22">
    <w:name w:val="ListLabel 22"/>
    <w:qFormat/>
    <w:rPr>
      <w:rFonts w:ascii="DejaVu Serif" w:hAnsi="DejaVu Serif" w:cs="Times New Roman"/>
      <w:color w:val="3333FF"/>
      <w:sz w:val="21"/>
      <w:szCs w:val="21"/>
    </w:rPr>
  </w:style>
  <w:style w:type="character" w:customStyle="1" w:styleId="ListLabel23">
    <w:name w:val="ListLabel 23"/>
    <w:qFormat/>
    <w:rPr>
      <w:rFonts w:ascii="DejaVu Serif" w:hAnsi="DejaVu Serif"/>
      <w:color w:val="3333FF"/>
      <w:sz w:val="21"/>
      <w:szCs w:val="21"/>
    </w:rPr>
  </w:style>
  <w:style w:type="character" w:customStyle="1" w:styleId="Internetverknpfung">
    <w:name w:val="Internetverknüpfung"/>
    <w:qFormat/>
    <w:rPr>
      <w:color w:val="000080"/>
      <w:u w:val="single"/>
    </w:rPr>
  </w:style>
  <w:style w:type="character" w:customStyle="1" w:styleId="ListLabel24">
    <w:name w:val="ListLabel 24"/>
    <w:qFormat/>
    <w:rPr>
      <w:rFonts w:ascii="DejaVu Serif" w:eastAsia="MS Mincho" w:hAnsi="DejaVu Serif" w:cs="Arial"/>
      <w:color w:val="3333FF"/>
      <w:sz w:val="21"/>
      <w:szCs w:val="21"/>
    </w:rPr>
  </w:style>
  <w:style w:type="character" w:customStyle="1" w:styleId="ListLabel25">
    <w:name w:val="ListLabel 25"/>
    <w:qFormat/>
    <w:rPr>
      <w:rFonts w:ascii="DejaVu Serif" w:hAnsi="DejaVu Serif"/>
      <w:b w:val="0"/>
      <w:bCs w:val="0"/>
      <w:color w:val="000000"/>
      <w:sz w:val="21"/>
      <w:szCs w:val="21"/>
    </w:rPr>
  </w:style>
  <w:style w:type="character" w:customStyle="1" w:styleId="ListLabel26">
    <w:name w:val="ListLabel 26"/>
    <w:qFormat/>
    <w:rPr>
      <w:rFonts w:ascii="DejaVu Serif" w:hAnsi="DejaVu Serif"/>
      <w:color w:val="000000"/>
      <w:sz w:val="21"/>
      <w:szCs w:val="21"/>
    </w:rPr>
  </w:style>
  <w:style w:type="character" w:customStyle="1" w:styleId="ListLabel27">
    <w:name w:val="ListLabel 27"/>
    <w:qFormat/>
    <w:rPr>
      <w:rFonts w:ascii="DejaVu Serif" w:eastAsia="MS Mincho" w:hAnsi="DejaVu Serif" w:cs="Arial"/>
      <w:color w:val="3333FF"/>
      <w:sz w:val="21"/>
      <w:szCs w:val="21"/>
      <w:lang w:val="en-GB" w:eastAsia="sv-SE" w:bidi="ar-SA"/>
    </w:rPr>
  </w:style>
  <w:style w:type="character" w:customStyle="1" w:styleId="ListLabel28">
    <w:name w:val="ListLabel 28"/>
    <w:qFormat/>
    <w:rPr>
      <w:rFonts w:ascii="DejaVu Serif" w:hAnsi="DejaVu Serif" w:cs="Times New Roman"/>
      <w:color w:val="3333FF"/>
      <w:sz w:val="21"/>
      <w:szCs w:val="21"/>
    </w:rPr>
  </w:style>
  <w:style w:type="character" w:customStyle="1" w:styleId="ListLabel29">
    <w:name w:val="ListLabel 29"/>
    <w:qFormat/>
    <w:rPr>
      <w:rFonts w:ascii="DejaVu Serif" w:hAnsi="DejaVu Serif"/>
      <w:color w:val="3333FF"/>
      <w:sz w:val="21"/>
      <w:szCs w:val="21"/>
    </w:rPr>
  </w:style>
  <w:style w:type="character" w:customStyle="1" w:styleId="ListLabel30">
    <w:name w:val="ListLabel 30"/>
    <w:qFormat/>
    <w:rPr>
      <w:rFonts w:ascii="DejaVu Serif" w:eastAsia="MS Mincho" w:hAnsi="DejaVu Serif" w:cs="Arial"/>
      <w:color w:val="3333FF"/>
      <w:sz w:val="21"/>
      <w:szCs w:val="21"/>
    </w:rPr>
  </w:style>
  <w:style w:type="character" w:customStyle="1" w:styleId="ListLabel31">
    <w:name w:val="ListLabel 31"/>
    <w:qFormat/>
    <w:rPr>
      <w:rFonts w:ascii="DejaVu Serif" w:hAnsi="DejaVu Serif"/>
      <w:b w:val="0"/>
      <w:bCs w:val="0"/>
      <w:sz w:val="21"/>
      <w:szCs w:val="21"/>
    </w:rPr>
  </w:style>
  <w:style w:type="character" w:customStyle="1" w:styleId="ListLabel32">
    <w:name w:val="ListLabel 32"/>
    <w:qFormat/>
    <w:rPr>
      <w:rFonts w:ascii="DejaVu Serif" w:hAnsi="DejaVu Serif"/>
      <w:b w:val="0"/>
      <w:bCs w:val="0"/>
      <w:color w:val="000000"/>
      <w:sz w:val="21"/>
      <w:szCs w:val="21"/>
    </w:rPr>
  </w:style>
  <w:style w:type="character" w:customStyle="1" w:styleId="ListLabel33">
    <w:name w:val="ListLabel 33"/>
    <w:qFormat/>
    <w:rPr>
      <w:rFonts w:ascii="DejaVu Serif" w:hAnsi="DejaVu Serif"/>
      <w:sz w:val="21"/>
      <w:szCs w:val="21"/>
    </w:rPr>
  </w:style>
  <w:style w:type="character" w:customStyle="1" w:styleId="ListLabel34">
    <w:name w:val="ListLabel 34"/>
    <w:qFormat/>
    <w:rPr>
      <w:rFonts w:ascii="DejaVu Serif" w:eastAsia="MS Mincho" w:hAnsi="DejaVu Serif" w:cs="Arial"/>
      <w:color w:val="3333FF"/>
      <w:sz w:val="21"/>
      <w:szCs w:val="21"/>
      <w:lang w:val="en-GB" w:eastAsia="sv-SE" w:bidi="ar-SA"/>
    </w:rPr>
  </w:style>
  <w:style w:type="character" w:customStyle="1" w:styleId="ListLabel35">
    <w:name w:val="ListLabel 35"/>
    <w:qFormat/>
    <w:rPr>
      <w:rFonts w:ascii="DejaVu Serif" w:hAnsi="DejaVu Serif" w:cs="Times New Roman"/>
      <w:color w:val="3333FF"/>
      <w:sz w:val="21"/>
      <w:szCs w:val="21"/>
    </w:rPr>
  </w:style>
  <w:style w:type="character" w:customStyle="1" w:styleId="ListLabel36">
    <w:name w:val="ListLabel 36"/>
    <w:qFormat/>
    <w:rPr>
      <w:rFonts w:ascii="DejaVu Serif" w:hAnsi="DejaVu Serif"/>
      <w:color w:val="3333FF"/>
      <w:sz w:val="21"/>
      <w:szCs w:val="21"/>
    </w:rPr>
  </w:style>
  <w:style w:type="character" w:customStyle="1" w:styleId="ListLabel37">
    <w:name w:val="ListLabel 37"/>
    <w:qFormat/>
    <w:rPr>
      <w:rFonts w:ascii="DejaVu Serif" w:eastAsia="MS Mincho" w:hAnsi="DejaVu Serif" w:cs="Arial"/>
      <w:color w:val="3333FF"/>
      <w:sz w:val="21"/>
      <w:szCs w:val="21"/>
    </w:rPr>
  </w:style>
  <w:style w:type="character" w:customStyle="1" w:styleId="ListLabel38">
    <w:name w:val="ListLabel 38"/>
    <w:qFormat/>
    <w:rPr>
      <w:rFonts w:ascii="DejaVu Serif" w:hAnsi="DejaVu Serif"/>
      <w:b w:val="0"/>
      <w:bCs w:val="0"/>
      <w:sz w:val="21"/>
      <w:szCs w:val="21"/>
    </w:rPr>
  </w:style>
  <w:style w:type="character" w:customStyle="1" w:styleId="ListLabel39">
    <w:name w:val="ListLabel 39"/>
    <w:qFormat/>
    <w:rPr>
      <w:rFonts w:ascii="DejaVu Serif" w:hAnsi="DejaVu Serif"/>
      <w:b w:val="0"/>
      <w:bCs w:val="0"/>
      <w:color w:val="000000"/>
      <w:sz w:val="21"/>
      <w:szCs w:val="21"/>
    </w:rPr>
  </w:style>
  <w:style w:type="character" w:customStyle="1" w:styleId="ListLabel40">
    <w:name w:val="ListLabel 40"/>
    <w:qFormat/>
    <w:rPr>
      <w:rFonts w:ascii="DejaVu Serif" w:hAnsi="DejaVu Serif"/>
      <w:sz w:val="21"/>
      <w:szCs w:val="21"/>
    </w:rPr>
  </w:style>
  <w:style w:type="character" w:customStyle="1" w:styleId="ListLabel41">
    <w:name w:val="ListLabel 41"/>
    <w:qFormat/>
    <w:rPr>
      <w:rFonts w:ascii="DejaVu Serif" w:hAnsi="DejaVu Serif"/>
      <w:b w:val="0"/>
      <w:bCs w:val="0"/>
      <w:sz w:val="21"/>
      <w:szCs w:val="21"/>
      <w:lang w:val="en-GB"/>
    </w:rPr>
  </w:style>
  <w:style w:type="character" w:customStyle="1" w:styleId="ListLabel42">
    <w:name w:val="ListLabel 42"/>
    <w:qFormat/>
    <w:rPr>
      <w:rFonts w:ascii="DejaVu Serif" w:eastAsia="MS Mincho" w:hAnsi="DejaVu Serif" w:cs="Arial"/>
      <w:color w:val="3333FF"/>
      <w:sz w:val="21"/>
      <w:szCs w:val="21"/>
      <w:lang w:val="en-GB" w:eastAsia="sv-SE" w:bidi="ar-SA"/>
    </w:rPr>
  </w:style>
  <w:style w:type="character" w:customStyle="1" w:styleId="ListLabel43">
    <w:name w:val="ListLabel 43"/>
    <w:qFormat/>
    <w:rPr>
      <w:rFonts w:ascii="DejaVu Serif" w:hAnsi="DejaVu Serif" w:cs="Times New Roman"/>
      <w:color w:val="3333FF"/>
      <w:sz w:val="21"/>
      <w:szCs w:val="21"/>
    </w:rPr>
  </w:style>
  <w:style w:type="paragraph" w:customStyle="1" w:styleId="Heading">
    <w:name w:val="Heading"/>
    <w:basedOn w:val="Normal"/>
    <w:next w:val="BodyText"/>
    <w:qFormat/>
    <w:pPr>
      <w:keepNext/>
      <w:spacing w:before="240" w:after="120"/>
    </w:pPr>
    <w:rPr>
      <w:rFonts w:ascii="Liberation Sans" w:eastAsia="SimSun" w:hAnsi="Liberation Sans" w:cs="Lucida Sans"/>
      <w:sz w:val="28"/>
      <w:szCs w:val="28"/>
    </w:rPr>
  </w:style>
  <w:style w:type="paragraph" w:styleId="BodyText">
    <w:name w:val="Body Text"/>
    <w:basedOn w:val="Normal"/>
    <w:pPr>
      <w:spacing w:before="0"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Lucida Sans"/>
    </w:rPr>
  </w:style>
  <w:style w:type="paragraph" w:customStyle="1" w:styleId="berschrift">
    <w:name w:val="Überschrift"/>
    <w:basedOn w:val="Normal"/>
    <w:qFormat/>
    <w:pPr>
      <w:keepNext/>
      <w:spacing w:before="240" w:after="120"/>
    </w:pPr>
    <w:rPr>
      <w:rFonts w:ascii="Liberation Sans" w:eastAsia="Noto Sans CJK SC Regular" w:hAnsi="Liberation Sans" w:cs="FreeSans"/>
      <w:sz w:val="28"/>
      <w:szCs w:val="28"/>
    </w:rPr>
  </w:style>
  <w:style w:type="paragraph" w:customStyle="1" w:styleId="Verzeichnis">
    <w:name w:val="Verzeichnis"/>
    <w:basedOn w:val="Normal"/>
    <w:qFormat/>
    <w:pPr>
      <w:suppressLineNumbers/>
    </w:pPr>
    <w:rPr>
      <w:rFonts w:cs="FreeSans"/>
    </w:rPr>
  </w:style>
  <w:style w:type="paragraph" w:customStyle="1" w:styleId="Default">
    <w:name w:val="Default"/>
    <w:qFormat/>
    <w:rsid w:val="00CA7E93"/>
    <w:pPr>
      <w:widowControl w:val="0"/>
    </w:pPr>
    <w:rPr>
      <w:rFonts w:ascii="Times New Roman" w:eastAsia="MS Mincho" w:hAnsi="Times New Roman" w:cs="Times New Roman"/>
      <w:color w:val="000000"/>
      <w:sz w:val="24"/>
    </w:rPr>
  </w:style>
  <w:style w:type="paragraph" w:styleId="BalloonText">
    <w:name w:val="Balloon Text"/>
    <w:basedOn w:val="Normal"/>
    <w:link w:val="BalloonTextChar"/>
    <w:uiPriority w:val="99"/>
    <w:semiHidden/>
    <w:unhideWhenUsed/>
    <w:qFormat/>
    <w:rsid w:val="006E6F71"/>
    <w:rPr>
      <w:rFonts w:ascii="Lucida Grande" w:hAnsi="Lucida Grande" w:cs="Lucida Grande"/>
      <w:sz w:val="18"/>
      <w:szCs w:val="18"/>
    </w:rPr>
  </w:style>
  <w:style w:type="paragraph" w:styleId="Header">
    <w:name w:val="header"/>
    <w:basedOn w:val="Normal"/>
    <w:link w:val="HeaderChar"/>
    <w:uiPriority w:val="99"/>
    <w:unhideWhenUsed/>
    <w:rsid w:val="005D3BCE"/>
    <w:pPr>
      <w:tabs>
        <w:tab w:val="center" w:pos="4536"/>
        <w:tab w:val="right" w:pos="9072"/>
      </w:tabs>
    </w:pPr>
  </w:style>
  <w:style w:type="paragraph" w:styleId="Footer">
    <w:name w:val="footer"/>
    <w:basedOn w:val="Normal"/>
    <w:link w:val="FooterChar"/>
    <w:uiPriority w:val="99"/>
    <w:unhideWhenUsed/>
    <w:rsid w:val="005D3BCE"/>
    <w:pPr>
      <w:tabs>
        <w:tab w:val="center" w:pos="4536"/>
        <w:tab w:val="right" w:pos="9072"/>
      </w:tabs>
    </w:pPr>
  </w:style>
  <w:style w:type="paragraph" w:customStyle="1" w:styleId="Sidhuv">
    <w:name w:val="Sidhuv"/>
    <w:basedOn w:val="Normal"/>
    <w:uiPriority w:val="99"/>
    <w:semiHidden/>
    <w:qFormat/>
    <w:rsid w:val="005D3BCE"/>
    <w:pPr>
      <w:tabs>
        <w:tab w:val="center" w:pos="4536"/>
        <w:tab w:val="right" w:pos="9072"/>
      </w:tabs>
    </w:pPr>
    <w:rPr>
      <w:rFonts w:eastAsia="Cambria" w:cs="Times New Roman"/>
      <w:lang w:eastAsia="en-US"/>
    </w:rPr>
  </w:style>
  <w:style w:type="paragraph" w:customStyle="1" w:styleId="FrameContents">
    <w:name w:val="Frame Contents"/>
    <w:basedOn w:val="Normal"/>
    <w:qFormat/>
  </w:style>
  <w:style w:type="paragraph" w:customStyle="1" w:styleId="Rahmeninhalt">
    <w:name w:val="Rahmeninhalt"/>
    <w:basedOn w:val="Normal"/>
    <w:qFormat/>
  </w:style>
  <w:style w:type="paragraph" w:styleId="FootnoteText">
    <w:name w:val="footnote text"/>
    <w:basedOn w:val="Normal"/>
    <w:qFormat/>
    <w:pPr>
      <w:spacing w:before="0" w:after="0"/>
    </w:pPr>
    <w:rPr>
      <w:rFonts w:ascii="DejaVu Serif" w:hAnsi="DejaVu Serif"/>
      <w:sz w:val="18"/>
    </w:rPr>
  </w:style>
  <w:style w:type="paragraph" w:styleId="CommentText">
    <w:name w:val="annotation text"/>
    <w:basedOn w:val="Normal"/>
    <w:link w:val="CommentTextChar"/>
    <w:uiPriority w:val="99"/>
    <w:semiHidden/>
    <w:unhideWhenUsed/>
    <w:qFormat/>
    <w:rsid w:val="00E155A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155AF"/>
    <w:rPr>
      <w:b/>
      <w:bCs/>
    </w:rPr>
  </w:style>
  <w:style w:type="paragraph" w:styleId="ListParagraph">
    <w:name w:val="List Paragraph"/>
    <w:basedOn w:val="Normal"/>
    <w:uiPriority w:val="34"/>
    <w:qFormat/>
    <w:rsid w:val="00707AAE"/>
    <w:pPr>
      <w:ind w:left="720"/>
      <w:contextualSpacing/>
    </w:pPr>
  </w:style>
  <w:style w:type="paragraph" w:customStyle="1" w:styleId="TabellenInhalt">
    <w:name w:val="Tabellen Inhalt"/>
    <w:basedOn w:val="Normal"/>
    <w:qFormat/>
  </w:style>
  <w:style w:type="paragraph" w:customStyle="1" w:styleId="Tabellenberschrift">
    <w:name w:val="Tabellen Überschrift"/>
    <w:basedOn w:val="TabellenInhal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ludwig.lub.lu.se/login?url=http://search.ebscohost.com/login.aspx?direct=true&amp;db=edspub&amp;AN=edp7180231&amp;site=eds-live&amp;scope=site" TargetMode="External"/><Relationship Id="rId18" Type="http://schemas.openxmlformats.org/officeDocument/2006/relationships/hyperlink" Target="https://19.re-publica.com/en/session/european-copyright-reform-it-possible" TargetMode="External"/><Relationship Id="rId26" Type="http://schemas.openxmlformats.org/officeDocument/2006/relationships/hyperlink" Target="https://houstonlawreview.org/api/v1/articles/4815-burn-berne-why-the-leading-international-copyright-convention-must-be-repealed.pdf" TargetMode="External"/><Relationship Id="rId21" Type="http://schemas.openxmlformats.org/officeDocument/2006/relationships/hyperlink" Target="http://doi.org/10.5325/jinfopoli.4.2014.0205"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ludwig.lub.lu.se/login?url=http://search.ebscohost.com.ludwig.lub.lu.se/login.aspx?direct=true&amp;db=edspub&amp;AN=edp18675345&amp;site=eds-live&amp;scope=site" TargetMode="External"/><Relationship Id="rId17" Type="http://schemas.openxmlformats.org/officeDocument/2006/relationships/hyperlink" Target="http://ludwig.lub.lu.se/login?url=http://search.ebscohost.com.ludwig.lub.lu.se/login.aspx?direct=true&amp;db=lih&amp;AN=44654828&amp;site=eds-live&amp;scope=site" TargetMode="External"/><Relationship Id="rId25" Type="http://schemas.openxmlformats.org/officeDocument/2006/relationships/hyperlink" Target="http://doi.org/10.5334/jcms.1021217" TargetMode="External"/><Relationship Id="rId33" Type="http://schemas.openxmlformats.org/officeDocument/2006/relationships/hyperlink" Target="http://www.wipo.int/wipolex/en/"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ludwig.lub.lu.se/login?url=http://search.ebscohost.com.ludwig.lub.lu.se/login.aspx?direct=true&amp;db=edspub&amp;AN=edp18675345&amp;site=eds-live&amp;scope=site" TargetMode="External"/><Relationship Id="rId20" Type="http://schemas.openxmlformats.org/officeDocument/2006/relationships/hyperlink" Target="https://archive.org/details/LawrenceLessigRemix" TargetMode="External"/><Relationship Id="rId29" Type="http://schemas.openxmlformats.org/officeDocument/2006/relationships/hyperlink" Target="http://guides.library.brandeis.edu/c.php?g=301951&amp;p=20135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d-bvd.be/wp-content/uploads/2013-4_Davies.pdf" TargetMode="External"/><Relationship Id="rId24" Type="http://schemas.openxmlformats.org/officeDocument/2006/relationships/hyperlink" Target="http://www.wipo.int/edocs/pubdocs/en/copyright/1001/wipo_pub_1001.pdf" TargetMode="External"/><Relationship Id="rId32" Type="http://schemas.openxmlformats.org/officeDocument/2006/relationships/hyperlink" Target="https://www.copyrightservice.co.uk/copyright/p14_universal_copyright_convention"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jstor.org.ludwig.lub.lu.se/stable/20027756" TargetMode="External"/><Relationship Id="rId23" Type="http://schemas.openxmlformats.org/officeDocument/2006/relationships/hyperlink" Target="http://doi.org/10.1080/09692290.2011.623111" TargetMode="External"/><Relationship Id="rId28" Type="http://schemas.openxmlformats.org/officeDocument/2006/relationships/hyperlink" Target="http://ludwig.lub.lu.se/login?url=http://search.ebscohost.com.ludwig.lub.lu.se/login.aspx?direct=true&amp;db=edswah&amp;AN=000259059600004&amp;site=eds-live&amp;scope=site" TargetMode="External"/><Relationship Id="rId36" Type="http://schemas.openxmlformats.org/officeDocument/2006/relationships/theme" Target="theme/theme1.xml"/><Relationship Id="rId10" Type="http://schemas.openxmlformats.org/officeDocument/2006/relationships/hyperlink" Target="http://doi.org/10.1111/1758-5899.12381" TargetMode="External"/><Relationship Id="rId19" Type="http://schemas.openxmlformats.org/officeDocument/2006/relationships/hyperlink" Target="https://www.youtube.com/watch?v=ZyujNlpxu9k" TargetMode="External"/><Relationship Id="rId31" Type="http://schemas.openxmlformats.org/officeDocument/2006/relationships/hyperlink" Target="https://www.keionline.org/copyright/1967-stockholm-protocol" TargetMode="External"/><Relationship Id="rId4" Type="http://schemas.openxmlformats.org/officeDocument/2006/relationships/styles" Target="styles.xml"/><Relationship Id="rId9" Type="http://schemas.openxmlformats.org/officeDocument/2006/relationships/hyperlink" Target="http://doi.org/10.17349/jmc117106" TargetMode="External"/><Relationship Id="rId14" Type="http://schemas.openxmlformats.org/officeDocument/2006/relationships/hyperlink" Target="http://www.communia-association.org/wp-content/uploads/the_digital_public_domain.pdf" TargetMode="External"/><Relationship Id="rId22" Type="http://schemas.openxmlformats.org/officeDocument/2006/relationships/hyperlink" Target="https://books.google.com/books?hl=en&amp;lr=&amp;id=gBmYsCKwz24C&amp;pg=PA42" TargetMode="External"/><Relationship Id="rId27" Type="http://schemas.openxmlformats.org/officeDocument/2006/relationships/hyperlink" Target="http://doi.org/10.12688/f1000research.8460.3" TargetMode="External"/><Relationship Id="rId30" Type="http://schemas.openxmlformats.org/officeDocument/2006/relationships/hyperlink" Target="http://www.wipo.int/treaties/en/"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578AAB8BB53C4AB8BFE8EB698C7444" ma:contentTypeVersion="2" ma:contentTypeDescription="Skapa ett nytt dokument." ma:contentTypeScope="" ma:versionID="b41fe32e9537a783dc25ca2c11eefdf0">
  <xsd:schema xmlns:xsd="http://www.w3.org/2001/XMLSchema" xmlns:xs="http://www.w3.org/2001/XMLSchema" xmlns:p="http://schemas.microsoft.com/office/2006/metadata/properties" xmlns:ns2="7fe8d8dc-c7c4-49d5-b74d-38235854e209" targetNamespace="http://schemas.microsoft.com/office/2006/metadata/properties" ma:root="true" ma:fieldsID="c7e5d5555242e014ae850bf1e5c028cd" ns2:_="">
    <xsd:import namespace="7fe8d8dc-c7c4-49d5-b74d-38235854e2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d8dc-c7c4-49d5-b74d-38235854e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A0AB8-35CA-40E6-8927-96F75CCEB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d8dc-c7c4-49d5-b74d-38235854e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BD4F5-C091-4299-8253-FE536A3628D9}">
  <ds:schemaRefs>
    <ds:schemaRef ds:uri="http://schemas.microsoft.com/sharepoint/v3/contenttype/forms"/>
  </ds:schemaRefs>
</ds:datastoreItem>
</file>

<file path=customXml/itemProps3.xml><?xml version="1.0" encoding="utf-8"?>
<ds:datastoreItem xmlns:ds="http://schemas.openxmlformats.org/officeDocument/2006/customXml" ds:itemID="{BF3F1DB0-EFFE-4762-BC6F-E597B42D20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7843</Characters>
  <Application>Microsoft Office Word</Application>
  <DocSecurity>0</DocSecurity>
  <Lines>65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Engelska parken</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Lindh</dc:creator>
  <dc:description/>
  <cp:lastModifiedBy>Lisa Olsson Dahlquist</cp:lastModifiedBy>
  <cp:revision>2</cp:revision>
  <cp:lastPrinted>2017-09-15T11:27:00Z</cp:lastPrinted>
  <dcterms:created xsi:type="dcterms:W3CDTF">2020-06-04T19:48:00Z</dcterms:created>
  <dcterms:modified xsi:type="dcterms:W3CDTF">2020-06-04T19:48:00Z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Engelska parken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0x01010034578AAB8BB53C4AB8BFE8EB698C7444</vt:lpwstr>
  </property>
</Properties>
</file>