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AA7C" w14:textId="6D0612ED" w:rsidR="00EA2ABE" w:rsidRDefault="00EA2ABE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b/>
          <w:bCs/>
          <w:sz w:val="32"/>
          <w:szCs w:val="32"/>
          <w:lang w:val="en-US"/>
        </w:rPr>
      </w:pPr>
      <w:r>
        <w:rPr>
          <w:rFonts w:ascii="Adobe Garamond Pro" w:hAnsi="Adobe Garamond Pro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333F9BEC">
            <wp:simplePos x="0" y="0"/>
            <wp:positionH relativeFrom="page">
              <wp:posOffset>899795</wp:posOffset>
            </wp:positionH>
            <wp:positionV relativeFrom="paragraph">
              <wp:posOffset>-571500</wp:posOffset>
            </wp:positionV>
            <wp:extent cx="1143000" cy="1520825"/>
            <wp:effectExtent l="0" t="0" r="0" b="3175"/>
            <wp:wrapThrough wrapText="bothSides">
              <wp:wrapPolygon edited="0">
                <wp:start x="0" y="0"/>
                <wp:lineTo x="0" y="21284"/>
                <wp:lineTo x="21120" y="21284"/>
                <wp:lineTo x="2112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D2D71" w14:textId="77777777" w:rsidR="00EA2ABE" w:rsidRDefault="00EA2ABE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b/>
          <w:bCs/>
          <w:sz w:val="32"/>
          <w:szCs w:val="32"/>
          <w:lang w:val="en-US"/>
        </w:rPr>
      </w:pPr>
    </w:p>
    <w:p w14:paraId="6BA50C15" w14:textId="77777777" w:rsidR="00EA2ABE" w:rsidRDefault="00EA2ABE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b/>
          <w:bCs/>
          <w:sz w:val="32"/>
          <w:szCs w:val="32"/>
          <w:lang w:val="en-US"/>
        </w:rPr>
      </w:pPr>
    </w:p>
    <w:p w14:paraId="0E33CD36" w14:textId="77777777" w:rsidR="00EA2ABE" w:rsidRDefault="00EA2ABE" w:rsidP="00EA2ABE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/>
          <w:bCs/>
          <w:sz w:val="32"/>
          <w:szCs w:val="32"/>
          <w:lang w:val="en-US"/>
        </w:rPr>
      </w:pPr>
    </w:p>
    <w:p w14:paraId="4F031B1E" w14:textId="77777777" w:rsidR="00EA2ABE" w:rsidRPr="00EA2ABE" w:rsidRDefault="00EA2ABE" w:rsidP="00EA2ABE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Cs/>
          <w:sz w:val="19"/>
          <w:szCs w:val="19"/>
          <w:lang w:val="en-US"/>
        </w:rPr>
      </w:pPr>
      <w:proofErr w:type="spellStart"/>
      <w:r w:rsidRPr="00EA2ABE">
        <w:rPr>
          <w:rFonts w:ascii="Adobe Garamond Pro" w:hAnsi="Adobe Garamond Pro" w:cstheme="minorHAnsi"/>
          <w:bCs/>
          <w:sz w:val="19"/>
          <w:szCs w:val="19"/>
          <w:lang w:val="en-US"/>
        </w:rPr>
        <w:t>Språk</w:t>
      </w:r>
      <w:proofErr w:type="spellEnd"/>
      <w:proofErr w:type="gramStart"/>
      <w:r w:rsidRPr="00EA2ABE">
        <w:rPr>
          <w:rFonts w:ascii="Adobe Garamond Pro" w:hAnsi="Adobe Garamond Pro" w:cstheme="minorHAnsi"/>
          <w:bCs/>
          <w:sz w:val="19"/>
          <w:szCs w:val="19"/>
          <w:lang w:val="en-US"/>
        </w:rPr>
        <w:t xml:space="preserve">-  </w:t>
      </w:r>
      <w:proofErr w:type="spellStart"/>
      <w:r w:rsidRPr="00EA2ABE">
        <w:rPr>
          <w:rFonts w:ascii="Adobe Garamond Pro" w:hAnsi="Adobe Garamond Pro" w:cstheme="minorHAnsi"/>
          <w:bCs/>
          <w:sz w:val="19"/>
          <w:szCs w:val="19"/>
          <w:lang w:val="en-US"/>
        </w:rPr>
        <w:t>och</w:t>
      </w:r>
      <w:proofErr w:type="spellEnd"/>
      <w:proofErr w:type="gramEnd"/>
      <w:r w:rsidRPr="00EA2ABE">
        <w:rPr>
          <w:rFonts w:ascii="Adobe Garamond Pro" w:hAnsi="Adobe Garamond Pro" w:cstheme="minorHAnsi"/>
          <w:bCs/>
          <w:sz w:val="19"/>
          <w:szCs w:val="19"/>
          <w:lang w:val="en-US"/>
        </w:rPr>
        <w:t xml:space="preserve"> </w:t>
      </w:r>
      <w:proofErr w:type="spellStart"/>
      <w:r w:rsidRPr="00EA2ABE">
        <w:rPr>
          <w:rFonts w:ascii="Adobe Garamond Pro" w:hAnsi="Adobe Garamond Pro" w:cstheme="minorHAnsi"/>
          <w:bCs/>
          <w:sz w:val="19"/>
          <w:szCs w:val="19"/>
          <w:lang w:val="en-US"/>
        </w:rPr>
        <w:t>litteraturcentrum</w:t>
      </w:r>
      <w:proofErr w:type="spellEnd"/>
    </w:p>
    <w:p w14:paraId="45343154" w14:textId="77777777" w:rsidR="00EA2ABE" w:rsidRPr="00EA2ABE" w:rsidRDefault="00EA2ABE" w:rsidP="00EA2ABE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Cs/>
          <w:sz w:val="19"/>
          <w:szCs w:val="19"/>
          <w:lang w:val="en-US"/>
        </w:rPr>
      </w:pPr>
      <w:proofErr w:type="spellStart"/>
      <w:r w:rsidRPr="00EA2ABE">
        <w:rPr>
          <w:rFonts w:ascii="Adobe Garamond Pro" w:hAnsi="Adobe Garamond Pro" w:cstheme="minorHAnsi"/>
          <w:bCs/>
          <w:sz w:val="19"/>
          <w:szCs w:val="19"/>
          <w:lang w:val="en-US"/>
        </w:rPr>
        <w:t>Italienska</w:t>
      </w:r>
      <w:proofErr w:type="spellEnd"/>
    </w:p>
    <w:p w14:paraId="0E542096" w14:textId="77777777" w:rsidR="00EA2ABE" w:rsidRDefault="00EA2ABE" w:rsidP="00EA2ABE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/>
          <w:bCs/>
          <w:sz w:val="32"/>
          <w:szCs w:val="32"/>
          <w:lang w:val="en-US"/>
        </w:rPr>
      </w:pPr>
    </w:p>
    <w:p w14:paraId="4C72DD54" w14:textId="77777777" w:rsidR="00EA2ABE" w:rsidRDefault="00EA2ABE" w:rsidP="00EA2ABE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/>
          <w:bCs/>
          <w:sz w:val="32"/>
          <w:szCs w:val="32"/>
          <w:lang w:val="en-US"/>
        </w:rPr>
      </w:pPr>
    </w:p>
    <w:p w14:paraId="184BBD92" w14:textId="10B78F6D" w:rsidR="005A4BEB" w:rsidRPr="00A47F57" w:rsidRDefault="005A4BEB" w:rsidP="00EA2ABE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b/>
          <w:bCs/>
          <w:sz w:val="32"/>
          <w:szCs w:val="32"/>
          <w:lang w:val="en-US"/>
        </w:rPr>
      </w:pPr>
      <w:r w:rsidRPr="00A47F57">
        <w:rPr>
          <w:rFonts w:ascii="Adobe Garamond Pro" w:hAnsi="Adobe Garamond Pro" w:cstheme="minorHAnsi"/>
          <w:b/>
          <w:bCs/>
          <w:sz w:val="32"/>
          <w:szCs w:val="32"/>
          <w:lang w:val="en-US"/>
        </w:rPr>
        <w:t>Communicative variation in time and space</w:t>
      </w:r>
    </w:p>
    <w:p w14:paraId="2CB43CD8" w14:textId="77777777" w:rsidR="005A4BEB" w:rsidRPr="00A47F57" w:rsidRDefault="005A4BEB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>Course Literature</w:t>
      </w:r>
    </w:p>
    <w:p w14:paraId="198EE3CB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19C59480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The course literature serves two purposes: to give you the necessary background to the field</w:t>
      </w:r>
    </w:p>
    <w:p w14:paraId="4BDEBD5A" w14:textId="77777777" w:rsidR="005A4BEB" w:rsidRP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>
        <w:rPr>
          <w:rFonts w:ascii="Adobe Garamond Pro" w:hAnsi="Adobe Garamond Pro" w:cstheme="minorHAnsi"/>
          <w:sz w:val="24"/>
          <w:szCs w:val="24"/>
          <w:lang w:val="en-US"/>
        </w:rPr>
        <w:t>studies</w:t>
      </w:r>
      <w:proofErr w:type="gramEnd"/>
      <w:r>
        <w:rPr>
          <w:rFonts w:ascii="Adobe Garamond Pro" w:hAnsi="Adobe Garamond Pro" w:cstheme="minorHAnsi"/>
          <w:sz w:val="24"/>
          <w:szCs w:val="24"/>
          <w:lang w:val="en-US"/>
        </w:rPr>
        <w:t>,</w:t>
      </w:r>
      <w:r w:rsidR="005A4BEB"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and to prepare you for the three themes that are in focus during our work. Some of the literature is compulsory; this is followed by instructions on how to read it. Some of it is</w:t>
      </w:r>
    </w:p>
    <w:p w14:paraId="3B131125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recommended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by </w:t>
      </w:r>
      <w:r w:rsidR="00A47F57">
        <w:rPr>
          <w:rFonts w:ascii="Adobe Garamond Pro" w:hAnsi="Adobe Garamond Pro" w:cstheme="minorHAnsi"/>
          <w:sz w:val="24"/>
          <w:szCs w:val="24"/>
          <w:lang w:val="en-US"/>
        </w:rPr>
        <w:t>the teachers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="00A47F57">
        <w:rPr>
          <w:rFonts w:ascii="Adobe Garamond Pro" w:hAnsi="Adobe Garamond Pro" w:cstheme="minorHAnsi"/>
          <w:sz w:val="24"/>
          <w:szCs w:val="24"/>
          <w:lang w:val="en-US"/>
        </w:rPr>
        <w:t xml:space="preserve">for further specialization into one specific field.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These readings will be</w:t>
      </w:r>
      <w:r w:rsid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of help when you choose and work with the subject for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your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in depth study during the second</w:t>
      </w:r>
    </w:p>
    <w:p w14:paraId="65857E0C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week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in Rome, and during the writing of the course paper.</w:t>
      </w:r>
    </w:p>
    <w:p w14:paraId="4D4188BF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6627E0ED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This list of literature is divided into five sections, “General background of the city of Rome”,</w:t>
      </w:r>
    </w:p>
    <w:p w14:paraId="22ECC043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“General background on communication in a wide sense”, and theme 1 “Power”, 2 “Aesthetics</w:t>
      </w:r>
    </w:p>
    <w:p w14:paraId="6F988DD9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/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Intertextual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communication and the communication of aesthetics” and 3 “Everyday life”.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The</w:t>
      </w:r>
    </w:p>
    <w:p w14:paraId="4A86B0EC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sections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contain compulsory literature with reading instructions as well as recommended reading.</w:t>
      </w:r>
    </w:p>
    <w:p w14:paraId="2C3E2793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67810412" w14:textId="77777777" w:rsidR="00A47F57" w:rsidRDefault="00A47F57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</w:p>
    <w:p w14:paraId="5B86264A" w14:textId="77777777" w:rsidR="005A4BEB" w:rsidRPr="00A47F57" w:rsidRDefault="005A4BEB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>General background on the city of Rome:</w:t>
      </w:r>
    </w:p>
    <w:p w14:paraId="4477D979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44DEC2B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COMPULSORY LITERATURE</w:t>
      </w:r>
    </w:p>
    <w:p w14:paraId="30E08C19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/>
          <w:bCs/>
          <w:sz w:val="24"/>
          <w:szCs w:val="24"/>
          <w:lang w:val="en-US"/>
        </w:rPr>
      </w:pPr>
    </w:p>
    <w:p w14:paraId="316B559A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b/>
          <w:bCs/>
          <w:sz w:val="24"/>
          <w:szCs w:val="24"/>
          <w:lang w:val="en-US"/>
        </w:rPr>
        <w:t>Roman history in general outlines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from antiquity to modern times. It is your own</w:t>
      </w:r>
    </w:p>
    <w:p w14:paraId="7DBFC97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responsibility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to cover this area. You will find some suggestions under recommended reading, but</w:t>
      </w:r>
    </w:p>
    <w:p w14:paraId="41A0AFE0" w14:textId="04C8A92A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you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may also use other </w:t>
      </w:r>
      <w:r w:rsidR="0093304F">
        <w:rPr>
          <w:rFonts w:ascii="Adobe Garamond Pro" w:hAnsi="Adobe Garamond Pro" w:cstheme="minorHAnsi"/>
          <w:sz w:val="24"/>
          <w:szCs w:val="24"/>
          <w:lang w:val="en-US"/>
        </w:rPr>
        <w:t>sources (the internet, encyclop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edias, history books, guidebooks).</w:t>
      </w:r>
    </w:p>
    <w:p w14:paraId="4C87EF87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/>
          <w:bCs/>
          <w:sz w:val="24"/>
          <w:szCs w:val="24"/>
          <w:lang w:val="en-US"/>
        </w:rPr>
      </w:pPr>
    </w:p>
    <w:p w14:paraId="15FCEF01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b/>
          <w:bCs/>
          <w:sz w:val="24"/>
          <w:szCs w:val="24"/>
          <w:lang w:val="en-US"/>
        </w:rPr>
        <w:t>Roman topography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. The Swedish students should bring a good guidebook (e.g. Blue Guide)</w:t>
      </w:r>
    </w:p>
    <w:p w14:paraId="2369AE7D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and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 good map, e. g.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CityFlash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Hallwag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International. The Italian students should have a good</w:t>
      </w:r>
    </w:p>
    <w:p w14:paraId="2857C2EF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map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and if you are not very acquainted with your city, consult a good guidebook .</w:t>
      </w:r>
    </w:p>
    <w:p w14:paraId="49DE1647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/>
          <w:bCs/>
          <w:sz w:val="24"/>
          <w:szCs w:val="24"/>
          <w:lang w:val="en-US"/>
        </w:rPr>
      </w:pPr>
    </w:p>
    <w:p w14:paraId="68097842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b/>
          <w:bCs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b/>
          <w:bCs/>
          <w:sz w:val="24"/>
          <w:szCs w:val="24"/>
          <w:lang w:val="en-US"/>
        </w:rPr>
        <w:t>Rome in historical perspective.</w:t>
      </w:r>
      <w:proofErr w:type="gramEnd"/>
    </w:p>
    <w:p w14:paraId="4E576D5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Aldrete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G. S.,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Daily Life in the Roman City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.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Rome, Pompeii, and Ostia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University of Oklahoma Press</w:t>
      </w:r>
      <w:r w:rsid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2004, chapters 1-12.</w:t>
      </w:r>
    </w:p>
    <w:p w14:paraId="0B0A9BFE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Reading instructions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: This is a good overview of the development of ancient Rome. It serves as a</w:t>
      </w:r>
    </w:p>
    <w:p w14:paraId="310F1CA4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good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preparation for the field work, and could also be used as a handbook during the fieldwork.</w:t>
      </w:r>
    </w:p>
    <w:p w14:paraId="2BCA905A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15109F32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Larmour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D. H. J. and Spencer, D., ‘Introduction—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 xml:space="preserve">Roma, </w:t>
      </w:r>
      <w:proofErr w:type="spellStart"/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recepta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: a topography of the</w:t>
      </w:r>
    </w:p>
    <w:p w14:paraId="39B7F41E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imagination’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in: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Larmour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D. H. J. and Spencer, D. (eds.),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The Sites of Rome. Time, Space, Memory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,</w:t>
      </w:r>
      <w:r w:rsid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Oxford &amp; New York 2007, pp. 1-60.</w:t>
      </w:r>
    </w:p>
    <w:p w14:paraId="611CEA27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Reading instructions:</w:t>
      </w:r>
    </w:p>
    <w:p w14:paraId="2D4FD06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lastRenderedPageBreak/>
        <w:t>This is the introduction to an anthology on the reception of the city of Rome as a concept, idea,</w:t>
      </w:r>
    </w:p>
    <w:p w14:paraId="69FAF162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ideal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etc. There are many names of modern authors; these are not important for our purpose. Try</w:t>
      </w:r>
    </w:p>
    <w:p w14:paraId="5B0B2101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instead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to get a general impression from your reading of how the concept of Rome has been used</w:t>
      </w:r>
    </w:p>
    <w:p w14:paraId="54FE0C7D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in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 historical perspective. The map p. 25 is important; study it with a modern map on the side.</w:t>
      </w:r>
    </w:p>
    <w:p w14:paraId="3131EB2E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The word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 xml:space="preserve">palimpsest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occurs to describe the city: find out what the word means in itself, and what</w:t>
      </w:r>
    </w:p>
    <w:p w14:paraId="63182065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the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meaning is in its metaphorical usage.</w:t>
      </w:r>
    </w:p>
    <w:p w14:paraId="2F9FB6FB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1D3B916E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Vout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Caroline, ‘Sizing up Rome, or theorizing the overview’, in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Larmour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D. H. J. and Spencer,</w:t>
      </w:r>
    </w:p>
    <w:p w14:paraId="1146DF10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D. (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eds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.),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The Sites of Rome. Time, Space, Memory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Oxford &amp; New York 2007, pp. 295-322</w:t>
      </w:r>
    </w:p>
    <w:p w14:paraId="66E821D5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Reading instructions:</w:t>
      </w:r>
    </w:p>
    <w:p w14:paraId="7266CAFB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This chapter describes the visitor’s reactions watching Rome from one of the surrounding hills.</w:t>
      </w:r>
    </w:p>
    <w:p w14:paraId="6C8600E2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Use it to get a mental picture of the topography of Rome, in combination with a modern map</w:t>
      </w:r>
    </w:p>
    <w:p w14:paraId="6BDCC81F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and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 topographical map of the 7 hills (you may e g find a lot of stuff on Wikipedia Commons).</w:t>
      </w:r>
    </w:p>
    <w:p w14:paraId="0FF64E5E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Study the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watercolours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by Samuel Palmer on pp. 318-319, and try to find other artistic</w:t>
      </w:r>
    </w:p>
    <w:p w14:paraId="77291E6C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representations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of Rome. Try to keep your impressions in mind and compare to your own</w:t>
      </w:r>
    </w:p>
    <w:p w14:paraId="7F8110DD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reactions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on your first overview of the city during the field work.</w:t>
      </w:r>
    </w:p>
    <w:p w14:paraId="1570E367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26D0964D" w14:textId="77777777" w:rsidR="00A47F57" w:rsidRDefault="00A47F57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</w:p>
    <w:p w14:paraId="2B22BE13" w14:textId="77777777" w:rsidR="005A4BEB" w:rsidRPr="00A47F57" w:rsidRDefault="005A4BEB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>General background on communication in a wide sense</w:t>
      </w:r>
    </w:p>
    <w:p w14:paraId="6EE297EC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05EB1B5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COMPULSORY LITERATURE</w:t>
      </w:r>
    </w:p>
    <w:p w14:paraId="2784B3F2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Balboni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Paolo E. 2006. Intercultural Communicative Competence: a Model. Guerra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Edizioni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.</w:t>
      </w:r>
    </w:p>
    <w:p w14:paraId="28F80E80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Documents in Language Acquisition and Learning 2.</w:t>
      </w:r>
      <w:bookmarkStart w:id="0" w:name="_GoBack"/>
      <w:bookmarkEnd w:id="0"/>
      <w:proofErr w:type="gramEnd"/>
    </w:p>
    <w:p w14:paraId="4F511832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Reading instructions:</w:t>
      </w:r>
    </w:p>
    <w:p w14:paraId="751A0BE1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This booklet gives an insight into the intercultural competence model based on parameters which</w:t>
      </w:r>
    </w:p>
    <w:p w14:paraId="0346AF27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include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verbal and non-verbal codes and cultural values. These parameters can vary between</w:t>
      </w:r>
    </w:p>
    <w:p w14:paraId="49BA1ABF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different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cultural environments. Keep the model in mind while pursuing the field work. It is</w:t>
      </w:r>
    </w:p>
    <w:p w14:paraId="03A0F85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applicable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to all three themes.</w:t>
      </w:r>
    </w:p>
    <w:p w14:paraId="5164021D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04B1EA94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RECOMMENDED READING</w:t>
      </w:r>
    </w:p>
    <w:p w14:paraId="3880F3A7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Gunther Kress &amp; Theo van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Leeuwen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(2001), Multimodal Discourse. The modes and</w:t>
      </w:r>
    </w:p>
    <w:p w14:paraId="461016DF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media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of contemporary communication.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Oxford University Press.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S. 1-65</w:t>
      </w:r>
    </w:p>
    <w:p w14:paraId="724A549B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289CB83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Helen FitzGerald: How Different Are We? Spoken Discourse in Intercultural Communication.</w:t>
      </w:r>
    </w:p>
    <w:p w14:paraId="1F540434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ICE Languages for Intercultural Communication and Education.4, Multilingual Matters LTD,</w:t>
      </w:r>
    </w:p>
    <w:p w14:paraId="7531F9C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Clevedon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Buffalo Toronto Sydney, 2003.</w:t>
      </w:r>
      <w:proofErr w:type="gramEnd"/>
    </w:p>
    <w:p w14:paraId="19486505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095831EF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17804B62" w14:textId="77777777" w:rsidR="005A4BEB" w:rsidRPr="00A47F57" w:rsidRDefault="005A4BEB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>Theme 1: Power</w:t>
      </w:r>
    </w:p>
    <w:p w14:paraId="2FD8B2DD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27528DF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COMPULSORY LITERATURE</w:t>
      </w:r>
    </w:p>
    <w:p w14:paraId="251D3A1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Painter, Borden W, Jr.,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Mussolini’s Rome.</w:t>
      </w:r>
      <w:proofErr w:type="gramEnd"/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 xml:space="preserve"> Rebuilding the Eternal City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Palgrave Macmillan 2005.</w:t>
      </w:r>
    </w:p>
    <w:p w14:paraId="6D4A336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 xml:space="preserve">Res </w:t>
      </w:r>
      <w:proofErr w:type="spellStart"/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Gestae</w:t>
      </w:r>
      <w:proofErr w:type="spellEnd"/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Divi</w:t>
      </w:r>
      <w:proofErr w:type="spellEnd"/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Augusti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 xml:space="preserve">Text, Translation and Commentary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by Alison E. Cooley, Cambridge 2009</w:t>
      </w:r>
    </w:p>
    <w:p w14:paraId="52A31FAE" w14:textId="77777777" w:rsid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Reading instructions:</w:t>
      </w:r>
    </w:p>
    <w:p w14:paraId="57033CA3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This is the autobiography by the first Roman emperor, Augustus. The Swedish students may</w:t>
      </w:r>
    </w:p>
    <w:p w14:paraId="323A1EAB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prefer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to use the Swedish translation by Anders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Ollfors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from 1988. Read it through, especially the</w:t>
      </w:r>
    </w:p>
    <w:p w14:paraId="7AB75DB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part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on his building activities in Rome, and compare it to the description of Mussolini’s activities.</w:t>
      </w:r>
    </w:p>
    <w:p w14:paraId="6792F5EB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0BF11A4E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lastRenderedPageBreak/>
        <w:t>RECOMMENDED READING</w:t>
      </w:r>
    </w:p>
    <w:p w14:paraId="3B8AE553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Boatwright, M. T.,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Gargola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D. J., Talbert, R. J. A.,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A Brief History of the Romans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. New York &amp;</w:t>
      </w:r>
    </w:p>
    <w:p w14:paraId="5A8C6376" w14:textId="77777777" w:rsidR="005A4BEB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Oxford 2006</w:t>
      </w:r>
      <w:r w:rsidR="00EE4EDA">
        <w:rPr>
          <w:rFonts w:ascii="Adobe Garamond Pro" w:hAnsi="Adobe Garamond Pro" w:cstheme="minorHAnsi"/>
          <w:sz w:val="24"/>
          <w:szCs w:val="24"/>
          <w:lang w:val="en-US"/>
        </w:rPr>
        <w:t>.</w:t>
      </w:r>
    </w:p>
    <w:p w14:paraId="56D09C8D" w14:textId="77777777" w:rsidR="00EE4EDA" w:rsidRDefault="00EE4EDA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>
        <w:rPr>
          <w:rFonts w:ascii="Adobe Garamond Pro" w:hAnsi="Adobe Garamond Pro" w:cstheme="minorHAnsi"/>
          <w:sz w:val="24"/>
          <w:szCs w:val="24"/>
          <w:lang w:val="en-US"/>
        </w:rPr>
        <w:t xml:space="preserve">Partner, Peter. </w:t>
      </w:r>
      <w:r>
        <w:rPr>
          <w:rFonts w:ascii="Adobe Garamond Pro" w:hAnsi="Adobe Garamond Pro" w:cstheme="minorHAnsi"/>
          <w:i/>
          <w:sz w:val="24"/>
          <w:szCs w:val="24"/>
          <w:lang w:val="en-US"/>
        </w:rPr>
        <w:t xml:space="preserve">Renaissance Rome 1500-1559. </w:t>
      </w:r>
      <w:proofErr w:type="gramStart"/>
      <w:r>
        <w:rPr>
          <w:rFonts w:ascii="Adobe Garamond Pro" w:hAnsi="Adobe Garamond Pro" w:cstheme="minorHAnsi"/>
          <w:i/>
          <w:sz w:val="24"/>
          <w:szCs w:val="24"/>
          <w:lang w:val="en-US"/>
        </w:rPr>
        <w:t>A Portrait of a Society.</w:t>
      </w:r>
      <w:proofErr w:type="gram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ascii="Adobe Garamond Pro" w:hAnsi="Adobe Garamond Pro" w:cstheme="minorHAnsi"/>
          <w:sz w:val="24"/>
          <w:szCs w:val="24"/>
          <w:lang w:val="en-US"/>
        </w:rPr>
        <w:t>University of California Press 1976.</w:t>
      </w:r>
      <w:proofErr w:type="gram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ascii="Adobe Garamond Pro" w:hAnsi="Adobe Garamond Pro" w:cstheme="minorHAnsi"/>
          <w:sz w:val="24"/>
          <w:szCs w:val="24"/>
          <w:lang w:val="en-US"/>
        </w:rPr>
        <w:t>Chapters six and seven.</w:t>
      </w:r>
      <w:proofErr w:type="gram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</w:p>
    <w:p w14:paraId="1C12C2A3" w14:textId="77777777" w:rsidR="00EE4EDA" w:rsidRPr="00EE4EDA" w:rsidRDefault="00EE4EDA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sz w:val="24"/>
          <w:szCs w:val="24"/>
          <w:lang w:val="en-US"/>
        </w:rPr>
      </w:pPr>
      <w:r>
        <w:rPr>
          <w:rFonts w:ascii="Adobe Garamond Pro" w:hAnsi="Adobe Garamond Pro" w:cstheme="minorHAnsi"/>
          <w:i/>
          <w:sz w:val="24"/>
          <w:szCs w:val="24"/>
          <w:lang w:val="en-US"/>
        </w:rPr>
        <w:t xml:space="preserve"> </w:t>
      </w:r>
    </w:p>
    <w:p w14:paraId="16C1B2E5" w14:textId="77777777" w:rsidR="005A4BEB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Stewart, P., </w:t>
      </w: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The Social History of Roman Art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Cambridge 2008.</w:t>
      </w:r>
    </w:p>
    <w:p w14:paraId="1FF8C034" w14:textId="77777777" w:rsidR="008718CD" w:rsidRPr="006A19B7" w:rsidRDefault="008718CD" w:rsidP="008718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611D">
        <w:rPr>
          <w:rFonts w:ascii="Times New Roman" w:hAnsi="Times New Roman" w:cs="Times New Roman"/>
          <w:sz w:val="24"/>
          <w:szCs w:val="24"/>
          <w:lang w:val="en-US"/>
        </w:rPr>
        <w:t>Zanker</w:t>
      </w:r>
      <w:proofErr w:type="spellEnd"/>
      <w:r w:rsidRPr="00B3611D">
        <w:rPr>
          <w:rFonts w:ascii="Times New Roman" w:hAnsi="Times New Roman" w:cs="Times New Roman"/>
          <w:sz w:val="24"/>
          <w:szCs w:val="24"/>
          <w:lang w:val="en-US"/>
        </w:rPr>
        <w:t xml:space="preserve">, Paul 1990, </w:t>
      </w:r>
      <w:r w:rsidRPr="00B3611D">
        <w:rPr>
          <w:rFonts w:ascii="Times New Roman" w:hAnsi="Times New Roman" w:cs="Times New Roman"/>
          <w:i/>
          <w:sz w:val="24"/>
          <w:szCs w:val="24"/>
          <w:lang w:val="en-US"/>
        </w:rPr>
        <w:t>The Power of Images in the Age of Augustus</w:t>
      </w:r>
      <w:r w:rsidRPr="00B3611D">
        <w:rPr>
          <w:rFonts w:ascii="Times New Roman" w:hAnsi="Times New Roman" w:cs="Times New Roman"/>
          <w:sz w:val="24"/>
          <w:szCs w:val="24"/>
          <w:lang w:val="en-US"/>
        </w:rPr>
        <w:t>, The University of Michigan Press, Ann Arbor.</w:t>
      </w:r>
    </w:p>
    <w:p w14:paraId="24F24988" w14:textId="77777777" w:rsidR="008718CD" w:rsidRPr="00A47F57" w:rsidRDefault="008718CD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7DFBBA8C" w14:textId="77777777" w:rsidR="008718CD" w:rsidRDefault="008718CD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</w:p>
    <w:p w14:paraId="3D308C63" w14:textId="77777777" w:rsidR="005A4BEB" w:rsidRPr="00A47F57" w:rsidRDefault="005A4BEB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 xml:space="preserve">Theme 2: Aesthetics / </w:t>
      </w:r>
      <w:proofErr w:type="spellStart"/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>Intertextual</w:t>
      </w:r>
      <w:proofErr w:type="spellEnd"/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 xml:space="preserve"> communication and the communication of aesthetics</w:t>
      </w:r>
    </w:p>
    <w:p w14:paraId="0A8691CD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67942529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COMPULSORY LITERATURE</w:t>
      </w:r>
    </w:p>
    <w:p w14:paraId="39627EDF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Mary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Carruthers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(1998), The Craft of Thought.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Meditation, Rhetoric, and the Making of Images,</w:t>
      </w:r>
      <w:r w:rsid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400-1200.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Cambridge University Press.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S. 116-220.</w:t>
      </w:r>
    </w:p>
    <w:p w14:paraId="12A9F6D9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1D6FA16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Gunther Kress &amp; Theo van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Leeuwen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(1996), Reading Images.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The Grammar of Visual Design.</w:t>
      </w:r>
      <w:proofErr w:type="gramEnd"/>
    </w:p>
    <w:p w14:paraId="5E8F933B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NewYork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:Routledge.S.15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-78.</w:t>
      </w:r>
    </w:p>
    <w:p w14:paraId="45101BB8" w14:textId="77777777" w:rsidR="00A47F57" w:rsidRP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</w:rPr>
        <w:t xml:space="preserve">Reading </w:t>
      </w:r>
      <w:proofErr w:type="spellStart"/>
      <w:r w:rsidRPr="00A47F57">
        <w:rPr>
          <w:rFonts w:ascii="Adobe Garamond Pro" w:hAnsi="Adobe Garamond Pro" w:cstheme="minorHAnsi"/>
          <w:i/>
          <w:iCs/>
          <w:sz w:val="24"/>
          <w:szCs w:val="24"/>
        </w:rPr>
        <w:t>instructions</w:t>
      </w:r>
      <w:proofErr w:type="spellEnd"/>
      <w:r w:rsidRPr="00A47F57">
        <w:rPr>
          <w:rFonts w:ascii="Adobe Garamond Pro" w:hAnsi="Adobe Garamond Pro" w:cstheme="minorHAnsi"/>
          <w:i/>
          <w:iCs/>
          <w:sz w:val="24"/>
          <w:szCs w:val="24"/>
        </w:rPr>
        <w:t xml:space="preserve">: </w:t>
      </w:r>
    </w:p>
    <w:p w14:paraId="16044128" w14:textId="77777777" w:rsidR="00A47F57" w:rsidRPr="00A47F57" w:rsidRDefault="00A47F57" w:rsidP="00A47F57">
      <w:pPr>
        <w:spacing w:line="240" w:lineRule="auto"/>
        <w:rPr>
          <w:rFonts w:ascii="Adobe Garamond Pro" w:hAnsi="Adobe Garamond Pro"/>
          <w:sz w:val="24"/>
          <w:szCs w:val="24"/>
          <w:lang w:val="en-GB"/>
        </w:rPr>
      </w:pPr>
      <w:r w:rsidRPr="00A47F57">
        <w:rPr>
          <w:rFonts w:ascii="Adobe Garamond Pro" w:hAnsi="Adobe Garamond Pro"/>
          <w:sz w:val="24"/>
          <w:szCs w:val="24"/>
          <w:lang w:val="en-GB"/>
        </w:rPr>
        <w:t xml:space="preserve">Kress &amp; van </w:t>
      </w:r>
      <w:proofErr w:type="spellStart"/>
      <w:r w:rsidRPr="00A47F57">
        <w:rPr>
          <w:rFonts w:ascii="Adobe Garamond Pro" w:hAnsi="Adobe Garamond Pro"/>
          <w:sz w:val="24"/>
          <w:szCs w:val="24"/>
          <w:lang w:val="en-GB"/>
        </w:rPr>
        <w:t>Leeuwen</w:t>
      </w:r>
      <w:proofErr w:type="spellEnd"/>
      <w:r w:rsidRPr="00A47F57">
        <w:rPr>
          <w:rFonts w:ascii="Adobe Garamond Pro" w:hAnsi="Adobe Garamond Pro"/>
          <w:sz w:val="24"/>
          <w:szCs w:val="24"/>
          <w:lang w:val="en-GB"/>
        </w:rPr>
        <w:t xml:space="preserve"> is a theoretical multimodal discussion about how visual design can be </w:t>
      </w:r>
      <w:proofErr w:type="spellStart"/>
      <w:r w:rsidRPr="00A47F57">
        <w:rPr>
          <w:rFonts w:ascii="Adobe Garamond Pro" w:hAnsi="Adobe Garamond Pro"/>
          <w:sz w:val="24"/>
          <w:szCs w:val="24"/>
          <w:lang w:val="en-GB"/>
        </w:rPr>
        <w:t>analyzed</w:t>
      </w:r>
      <w:proofErr w:type="spellEnd"/>
      <w:r w:rsidRPr="00A47F57">
        <w:rPr>
          <w:rFonts w:ascii="Adobe Garamond Pro" w:hAnsi="Adobe Garamond Pro"/>
          <w:sz w:val="24"/>
          <w:szCs w:val="24"/>
          <w:lang w:val="en-GB"/>
        </w:rPr>
        <w:t xml:space="preserve"> from a grammatical </w:t>
      </w:r>
      <w:r w:rsidRPr="00A47F57">
        <w:rPr>
          <w:rFonts w:ascii="Adobe Garamond Pro" w:hAnsi="Adobe Garamond Pro"/>
          <w:sz w:val="24"/>
          <w:szCs w:val="24"/>
          <w:lang w:val="en-US"/>
        </w:rPr>
        <w:t xml:space="preserve">point of view. </w:t>
      </w:r>
      <w:proofErr w:type="gramStart"/>
      <w:r w:rsidRPr="00A47F57">
        <w:rPr>
          <w:rFonts w:ascii="Adobe Garamond Pro" w:hAnsi="Adobe Garamond Pro"/>
          <w:sz w:val="24"/>
          <w:szCs w:val="24"/>
          <w:lang w:val="en-US"/>
        </w:rPr>
        <w:t>To understand multimodal</w:t>
      </w:r>
      <w:r w:rsidRPr="00A47F57">
        <w:rPr>
          <w:rFonts w:ascii="Adobe Garamond Pro" w:hAnsi="Adobe Garamond Pro"/>
          <w:sz w:val="24"/>
          <w:szCs w:val="24"/>
          <w:lang w:val="en-GB"/>
        </w:rPr>
        <w:t xml:space="preserve"> communication, </w:t>
      </w:r>
      <w:proofErr w:type="spellStart"/>
      <w:r w:rsidRPr="00A47F57">
        <w:rPr>
          <w:rFonts w:ascii="Adobe Garamond Pro" w:hAnsi="Adobe Garamond Pro"/>
          <w:sz w:val="24"/>
          <w:szCs w:val="24"/>
          <w:lang w:val="en-GB"/>
        </w:rPr>
        <w:t>intertext</w:t>
      </w:r>
      <w:proofErr w:type="spellEnd"/>
      <w:r w:rsidRPr="00A47F57">
        <w:rPr>
          <w:rFonts w:ascii="Adobe Garamond Pro" w:hAnsi="Adobe Garamond Pro"/>
          <w:sz w:val="24"/>
          <w:szCs w:val="24"/>
          <w:lang w:val="en-GB"/>
        </w:rPr>
        <w:t xml:space="preserve"> in the aesthetics.</w:t>
      </w:r>
      <w:proofErr w:type="gramEnd"/>
      <w:r w:rsidRPr="00A47F57">
        <w:rPr>
          <w:rFonts w:ascii="Adobe Garamond Pro" w:hAnsi="Adobe Garamond Pro"/>
          <w:sz w:val="24"/>
          <w:szCs w:val="24"/>
          <w:lang w:val="en-GB"/>
        </w:rPr>
        <w:t xml:space="preserve"> During both field works in Rome and while writing the final paper, those methods are very helpful. </w:t>
      </w:r>
      <w:proofErr w:type="spellStart"/>
      <w:r w:rsidRPr="00A47F57">
        <w:rPr>
          <w:rFonts w:ascii="Adobe Garamond Pro" w:hAnsi="Adobe Garamond Pro"/>
          <w:sz w:val="24"/>
          <w:szCs w:val="24"/>
          <w:lang w:val="en-GB"/>
        </w:rPr>
        <w:t>Carruthers</w:t>
      </w:r>
      <w:proofErr w:type="spellEnd"/>
      <w:r w:rsidRPr="00A47F57">
        <w:rPr>
          <w:rFonts w:ascii="Adobe Garamond Pro" w:hAnsi="Adobe Garamond Pro"/>
          <w:sz w:val="24"/>
          <w:szCs w:val="24"/>
          <w:lang w:val="en-GB"/>
        </w:rPr>
        <w:t xml:space="preserve"> discusses art, architecture and literature between 400-1200 as tools for the human thought and how these medias always work together. Her point of departure is </w:t>
      </w:r>
      <w:proofErr w:type="spellStart"/>
      <w:r w:rsidRPr="00A47F57">
        <w:rPr>
          <w:rFonts w:ascii="Adobe Garamond Pro" w:hAnsi="Adobe Garamond Pro"/>
          <w:sz w:val="24"/>
          <w:szCs w:val="24"/>
          <w:lang w:val="en-GB"/>
        </w:rPr>
        <w:t>rhetorics</w:t>
      </w:r>
      <w:proofErr w:type="spellEnd"/>
      <w:r w:rsidRPr="00A47F57">
        <w:rPr>
          <w:rFonts w:ascii="Adobe Garamond Pro" w:hAnsi="Adobe Garamond Pro"/>
          <w:sz w:val="24"/>
          <w:szCs w:val="24"/>
          <w:lang w:val="en-GB"/>
        </w:rPr>
        <w:t xml:space="preserve">, </w:t>
      </w:r>
      <w:proofErr w:type="spellStart"/>
      <w:r w:rsidRPr="00A47F57">
        <w:rPr>
          <w:rFonts w:ascii="Adobe Garamond Pro" w:hAnsi="Adobe Garamond Pro"/>
          <w:sz w:val="24"/>
          <w:szCs w:val="24"/>
          <w:lang w:val="en-GB"/>
        </w:rPr>
        <w:t>intertext</w:t>
      </w:r>
      <w:proofErr w:type="spellEnd"/>
      <w:r w:rsidRPr="00A47F57">
        <w:rPr>
          <w:rFonts w:ascii="Adobe Garamond Pro" w:hAnsi="Adobe Garamond Pro"/>
          <w:sz w:val="24"/>
          <w:szCs w:val="24"/>
          <w:lang w:val="en-GB"/>
        </w:rPr>
        <w:t xml:space="preserve"> and the architecture for thinking. Her methods can be used both for older and younger material. </w:t>
      </w:r>
    </w:p>
    <w:p w14:paraId="3C4450CE" w14:textId="77777777" w:rsidR="00A47F57" w:rsidRP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GB"/>
        </w:rPr>
      </w:pPr>
    </w:p>
    <w:p w14:paraId="23DCCE4C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RECOMMENDED READING</w:t>
      </w:r>
    </w:p>
    <w:p w14:paraId="68E2FCD1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Mieke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Bal</w:t>
      </w:r>
      <w:proofErr w:type="spellEnd"/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(1999), Quoting Caravaggio. Contemporary Art, Preposterous History.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The University</w:t>
      </w:r>
      <w:r w:rsid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of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Chigago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Press.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S. 1-128</w:t>
      </w:r>
    </w:p>
    <w:p w14:paraId="6709DB81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0036CE31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Umberto Eco (2004), On Beauty.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A History of a Western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Idea.Secker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&amp; Warburg, London.</w:t>
      </w:r>
      <w:proofErr w:type="gramEnd"/>
    </w:p>
    <w:p w14:paraId="5190D79C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3CAC632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Umberto Eco (2006), On Ugliness. Secker &amp; Warburg, London.</w:t>
      </w:r>
    </w:p>
    <w:p w14:paraId="3C648B1C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783996FF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5462AF12" w14:textId="77777777" w:rsidR="005A4BEB" w:rsidRPr="00A47F57" w:rsidRDefault="005A4BEB" w:rsidP="00A47F5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theme="minorHAnsi"/>
          <w:i/>
          <w:iCs/>
          <w:sz w:val="28"/>
          <w:szCs w:val="28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8"/>
          <w:szCs w:val="28"/>
          <w:lang w:val="en-US"/>
        </w:rPr>
        <w:t>Theme 3: Everyday life</w:t>
      </w:r>
    </w:p>
    <w:p w14:paraId="68E317E2" w14:textId="77777777" w:rsidR="00A47F57" w:rsidRDefault="00A47F57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6B182AD7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COMPULSORY LITERATURE</w:t>
      </w:r>
    </w:p>
    <w:p w14:paraId="19306FF8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Müller, Cornelia &amp;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Postner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Roland (eds.): The semantics and pragmatics of everyday gestures,</w:t>
      </w:r>
    </w:p>
    <w:p w14:paraId="72444C4A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Body Sign Culture,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Weidler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Buchverlag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. 2004. S. 15-57; 73-123. </w:t>
      </w:r>
      <w:proofErr w:type="gramStart"/>
      <w:r w:rsidR="00FE1550">
        <w:rPr>
          <w:rFonts w:ascii="Adobe Garamond Pro" w:hAnsi="Adobe Garamond Pro" w:cstheme="minorHAnsi"/>
          <w:sz w:val="24"/>
          <w:szCs w:val="24"/>
          <w:lang w:val="en-US"/>
        </w:rPr>
        <w:t>Especially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73-88, Isabella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Poggi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the</w:t>
      </w:r>
      <w:r w:rsidR="00FE1550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Italian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gestionary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.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Meaning representation, ambiguity, and context.</w:t>
      </w:r>
      <w:proofErr w:type="gramEnd"/>
    </w:p>
    <w:p w14:paraId="412FB2DC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Reading instructions:</w:t>
      </w:r>
    </w:p>
    <w:p w14:paraId="5DED850D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The myth that Italians, and in particular Romans, use gestures more frequently than other people</w:t>
      </w:r>
    </w:p>
    <w:p w14:paraId="7C162979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is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just a myth. The first part of the book (15-57) shows how the phenomenon of gestures can be</w:t>
      </w:r>
    </w:p>
    <w:p w14:paraId="7941FA6B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lastRenderedPageBreak/>
        <w:t>entered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into a dictionary of gestures. Read this part in order to get an understanding of how</w:t>
      </w:r>
    </w:p>
    <w:p w14:paraId="7330D7A0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gestures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are classified and how a comparison can be made between a system of gestures and a</w:t>
      </w:r>
    </w:p>
    <w:p w14:paraId="33CCFF99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system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of verbal expressions. Isabella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Poggi’s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article on the Italian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gestionary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is an introduction</w:t>
      </w:r>
    </w:p>
    <w:p w14:paraId="5A766EC4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to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the semantic structure of lexical gestures, and especially the meaning of autonomous and</w:t>
      </w:r>
    </w:p>
    <w:p w14:paraId="0C843B69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coverbal</w:t>
      </w:r>
      <w:proofErr w:type="spellEnd"/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gestures in the Italian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gestuary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which will be of help when you walk around in Rome</w:t>
      </w:r>
    </w:p>
    <w:p w14:paraId="47E7D554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and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when Italian and Swedish students and teachers meet. You will be able to discuss with</w:t>
      </w:r>
    </w:p>
    <w:p w14:paraId="23EFDB79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Isabella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Poggi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directly as she will be one of the teachers that you will meet in Rome. There will be</w:t>
      </w:r>
    </w:p>
    <w:p w14:paraId="43C3704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tasks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to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fulfil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regarding gestures, within the theme of everyday life.</w:t>
      </w:r>
    </w:p>
    <w:p w14:paraId="3BB6F390" w14:textId="77777777" w:rsidR="00FE1550" w:rsidRDefault="00FE1550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74AAB5C0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Levinson, Stephen, C. 2003.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Space in Language and Cognition.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Explorations in Cognitive</w:t>
      </w:r>
    </w:p>
    <w:p w14:paraId="540B69CE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Diversity. S. 1-61. Cambridge University Press, Cambridge.</w:t>
      </w:r>
    </w:p>
    <w:p w14:paraId="54E6E2C5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Reading instructions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:</w:t>
      </w:r>
    </w:p>
    <w:p w14:paraId="38967EBA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The chapters gives insight in the way orientation and space is perceived from a cognitive and</w:t>
      </w:r>
    </w:p>
    <w:p w14:paraId="00887346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linguistic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point of view. The notions of frames of reference (intrinsic, absolute and relative are</w:t>
      </w:r>
    </w:p>
    <w:p w14:paraId="0DBB05C5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important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thus read carefully chapter 2.The fieldwork within everyday life will deal with spatial</w:t>
      </w:r>
    </w:p>
    <w:p w14:paraId="5AD91907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orientation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route directions and itinerary directions from ancient Rome and in our time. Dr.</w:t>
      </w:r>
    </w:p>
    <w:p w14:paraId="55A20B4E" w14:textId="77777777" w:rsidR="00FE1550" w:rsidRPr="00A47F57" w:rsidRDefault="005A4BEB" w:rsidP="00FE1550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Simon Malmberg will guide you to the fieldwork dealing with itineraries in ancient Rome </w:t>
      </w:r>
      <w:r w:rsidR="00FE1550">
        <w:rPr>
          <w:rFonts w:ascii="Adobe Garamond Pro" w:hAnsi="Adobe Garamond Pro" w:cstheme="minorHAnsi"/>
          <w:sz w:val="24"/>
          <w:szCs w:val="24"/>
          <w:lang w:val="en-US"/>
        </w:rPr>
        <w:t>and</w:t>
      </w:r>
    </w:p>
    <w:p w14:paraId="449884C1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>Eva will guide you to the theme of</w:t>
      </w:r>
      <w:r w:rsidR="00FE1550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r w:rsidRPr="00A47F57">
        <w:rPr>
          <w:rFonts w:ascii="Adobe Garamond Pro" w:hAnsi="Adobe Garamond Pro" w:cstheme="minorHAnsi"/>
          <w:sz w:val="24"/>
          <w:szCs w:val="24"/>
          <w:lang w:val="en-US"/>
        </w:rPr>
        <w:t>spatiality in modern Rome.</w:t>
      </w:r>
    </w:p>
    <w:p w14:paraId="2A29BCA7" w14:textId="77777777" w:rsidR="00FE1550" w:rsidRDefault="00FE1550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</w:p>
    <w:p w14:paraId="1E3712A9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i/>
          <w:iCs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i/>
          <w:iCs/>
          <w:sz w:val="24"/>
          <w:szCs w:val="24"/>
          <w:lang w:val="en-US"/>
        </w:rPr>
        <w:t>RECOMMENDED READING</w:t>
      </w:r>
    </w:p>
    <w:p w14:paraId="41D39584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Suvantola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Jakko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: Tourist’s experience of place.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Aldershot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: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Ashgate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 cop 2002.</w:t>
      </w:r>
    </w:p>
    <w:p w14:paraId="6D1BC4AA" w14:textId="77777777" w:rsidR="00FE1550" w:rsidRDefault="00FE1550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5D54942F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Beyond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misunderstanding :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linguistic analyses of intercultural communication / edited by Kristin</w:t>
      </w:r>
    </w:p>
    <w:p w14:paraId="10C5B49B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Bührig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Jan D. ten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Thije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Beyond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misunderstanding :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linguistic analyses of intercultural</w:t>
      </w:r>
    </w:p>
    <w:p w14:paraId="0BAE5682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communication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/ edited by Kristin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Bührig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Jan D. ten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Thije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Amsterdam,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Benjamins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2006</w:t>
      </w:r>
    </w:p>
    <w:p w14:paraId="3A39758B" w14:textId="77777777" w:rsidR="00FE1550" w:rsidRDefault="00FE1550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495F37CD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Communication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strategies :</w:t>
      </w:r>
      <w:proofErr w:type="gram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psycholinguistic and sociolinguistic perspectives / edited by Gabriele</w:t>
      </w:r>
    </w:p>
    <w:p w14:paraId="64EC994C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Kasper and Eric Kellerman, Longman, London, 1997. </w:t>
      </w:r>
      <w:proofErr w:type="gram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Applied linguistics and language study.</w:t>
      </w:r>
      <w:proofErr w:type="gramEnd"/>
    </w:p>
    <w:p w14:paraId="63C1F30A" w14:textId="77777777" w:rsidR="00FE1550" w:rsidRDefault="00FE1550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2295BF32" w14:textId="77777777" w:rsidR="005F232E" w:rsidRDefault="005F232E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gramStart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Lombardi </w:t>
      </w:r>
      <w:proofErr w:type="spellStart"/>
      <w:r>
        <w:rPr>
          <w:rFonts w:ascii="Adobe Garamond Pro" w:hAnsi="Adobe Garamond Pro" w:cstheme="minorHAnsi"/>
          <w:sz w:val="24"/>
          <w:szCs w:val="24"/>
          <w:lang w:val="en-US"/>
        </w:rPr>
        <w:t>Vallauri</w:t>
      </w:r>
      <w:proofErr w:type="spell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="Adobe Garamond Pro" w:hAnsi="Adobe Garamond Pro" w:cstheme="minorHAnsi"/>
          <w:sz w:val="24"/>
          <w:szCs w:val="24"/>
          <w:lang w:val="en-US"/>
        </w:rPr>
        <w:t>Edoardo</w:t>
      </w:r>
      <w:proofErr w:type="spell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 2009.</w:t>
      </w:r>
      <w:proofErr w:type="gram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 “Grice </w:t>
      </w:r>
      <w:proofErr w:type="spellStart"/>
      <w:r>
        <w:rPr>
          <w:rFonts w:ascii="Adobe Garamond Pro" w:hAnsi="Adobe Garamond Pro" w:cstheme="minorHAnsi"/>
          <w:sz w:val="24"/>
          <w:szCs w:val="24"/>
          <w:lang w:val="en-US"/>
        </w:rPr>
        <w:t>elettorale</w:t>
      </w:r>
      <w:proofErr w:type="spell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” in </w:t>
      </w:r>
      <w:r w:rsidRPr="005F232E">
        <w:rPr>
          <w:rFonts w:ascii="Adobe Garamond Pro" w:hAnsi="Adobe Garamond Pro" w:cstheme="minorHAnsi"/>
          <w:i/>
          <w:sz w:val="24"/>
          <w:szCs w:val="24"/>
          <w:lang w:val="en-US"/>
        </w:rPr>
        <w:t xml:space="preserve">Lingua e </w:t>
      </w:r>
      <w:proofErr w:type="spellStart"/>
      <w:proofErr w:type="gramStart"/>
      <w:r w:rsidRPr="005F232E">
        <w:rPr>
          <w:rFonts w:ascii="Adobe Garamond Pro" w:hAnsi="Adobe Garamond Pro" w:cstheme="minorHAnsi"/>
          <w:i/>
          <w:sz w:val="24"/>
          <w:szCs w:val="24"/>
          <w:lang w:val="en-US"/>
        </w:rPr>
        <w:t>Società</w:t>
      </w:r>
      <w:proofErr w:type="spell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 .</w:t>
      </w:r>
      <w:proofErr w:type="gramEnd"/>
      <w:r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</w:p>
    <w:p w14:paraId="65D49E9A" w14:textId="77777777" w:rsidR="005F232E" w:rsidRDefault="005F232E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28D5780D" w14:textId="77777777" w:rsidR="005F232E" w:rsidRDefault="005F232E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Lombardi </w:t>
      </w:r>
      <w:proofErr w:type="spell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Vallauri</w:t>
      </w:r>
      <w:proofErr w:type="spell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, </w:t>
      </w:r>
      <w:proofErr w:type="spell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Edoardo</w:t>
      </w:r>
      <w:proofErr w:type="spell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 1995. “</w:t>
      </w:r>
      <w:proofErr w:type="spell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Tratti</w:t>
      </w:r>
      <w:proofErr w:type="spell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spell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linguistici</w:t>
      </w:r>
      <w:proofErr w:type="spell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della</w:t>
      </w:r>
      <w:proofErr w:type="spellEnd"/>
      <w:proofErr w:type="gram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spell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persuasione</w:t>
      </w:r>
      <w:proofErr w:type="spell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 in </w:t>
      </w:r>
      <w:proofErr w:type="spell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pubblicità</w:t>
      </w:r>
      <w:proofErr w:type="spell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 xml:space="preserve">” in Lingua Nostra LVI </w:t>
      </w:r>
      <w:proofErr w:type="spellStart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fas</w:t>
      </w:r>
      <w:proofErr w:type="spellEnd"/>
      <w:r w:rsidRPr="005F232E">
        <w:rPr>
          <w:rFonts w:ascii="Adobe Garamond Pro" w:hAnsi="Adobe Garamond Pro" w:cstheme="minorHAnsi"/>
          <w:sz w:val="24"/>
          <w:szCs w:val="24"/>
          <w:lang w:val="en-US"/>
        </w:rPr>
        <w:t>. 2-3.</w:t>
      </w:r>
    </w:p>
    <w:p w14:paraId="206B591A" w14:textId="77777777" w:rsidR="005F232E" w:rsidRPr="005F232E" w:rsidRDefault="005F232E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</w:p>
    <w:p w14:paraId="5145EDC5" w14:textId="77777777" w:rsidR="005A4BEB" w:rsidRPr="00A47F57" w:rsidRDefault="005A4BEB" w:rsidP="005A4BEB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Mutualities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in dialogue / edited by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Ivana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Marková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, Carl F.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Graumann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 xml:space="preserve"> and Klaus </w:t>
      </w:r>
      <w:proofErr w:type="spellStart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Foppa</w:t>
      </w:r>
      <w:proofErr w:type="spellEnd"/>
      <w:r w:rsidRPr="00A47F57">
        <w:rPr>
          <w:rFonts w:ascii="Adobe Garamond Pro" w:hAnsi="Adobe Garamond Pro" w:cstheme="minorHAnsi"/>
          <w:sz w:val="24"/>
          <w:szCs w:val="24"/>
          <w:lang w:val="en-US"/>
        </w:rPr>
        <w:t>,</w:t>
      </w:r>
    </w:p>
    <w:p w14:paraId="02BF88AB" w14:textId="77777777" w:rsidR="005F232E" w:rsidRPr="005F232E" w:rsidRDefault="005A4BEB" w:rsidP="005F232E">
      <w:pPr>
        <w:rPr>
          <w:rFonts w:ascii="Adobe Garamond Pro" w:hAnsi="Adobe Garamond Pro" w:cstheme="minorHAnsi"/>
          <w:sz w:val="24"/>
          <w:szCs w:val="24"/>
          <w:lang w:val="en-US"/>
        </w:rPr>
      </w:pPr>
      <w:r w:rsidRPr="005F232E">
        <w:rPr>
          <w:rFonts w:ascii="Adobe Garamond Pro" w:hAnsi="Adobe Garamond Pro" w:cstheme="minorHAnsi"/>
          <w:sz w:val="24"/>
          <w:szCs w:val="24"/>
          <w:lang w:val="en-US"/>
        </w:rPr>
        <w:t>Cambridge: Cambridge University Press, 1995</w:t>
      </w:r>
    </w:p>
    <w:p w14:paraId="08EAC365" w14:textId="77777777" w:rsidR="005F232E" w:rsidRPr="005F232E" w:rsidRDefault="005F232E" w:rsidP="005F232E">
      <w:pPr>
        <w:rPr>
          <w:rFonts w:ascii="Adobe Garamond Pro" w:hAnsi="Adobe Garamond Pro" w:cstheme="minorHAnsi"/>
          <w:sz w:val="24"/>
          <w:szCs w:val="24"/>
          <w:lang w:val="en-US"/>
        </w:rPr>
      </w:pPr>
      <w:proofErr w:type="spellStart"/>
      <w:r w:rsidRPr="005F232E">
        <w:rPr>
          <w:rFonts w:ascii="Adobe Garamond Pro" w:hAnsi="Adobe Garamond Pro"/>
          <w:sz w:val="24"/>
          <w:szCs w:val="24"/>
          <w:lang w:val="en-US"/>
        </w:rPr>
        <w:t>Poggi</w:t>
      </w:r>
      <w:proofErr w:type="spellEnd"/>
      <w:r w:rsidRPr="005F232E">
        <w:rPr>
          <w:rFonts w:ascii="Adobe Garamond Pro" w:hAnsi="Adobe Garamond Pro"/>
          <w:sz w:val="24"/>
          <w:szCs w:val="24"/>
          <w:lang w:val="en-US"/>
        </w:rPr>
        <w:t xml:space="preserve"> I., </w:t>
      </w:r>
      <w:proofErr w:type="spellStart"/>
      <w:r w:rsidRPr="005F232E">
        <w:rPr>
          <w:rFonts w:ascii="Adobe Garamond Pro" w:hAnsi="Adobe Garamond Pro"/>
          <w:sz w:val="24"/>
          <w:szCs w:val="24"/>
          <w:lang w:val="en-US"/>
        </w:rPr>
        <w:t>D’Errico</w:t>
      </w:r>
      <w:proofErr w:type="spellEnd"/>
      <w:r w:rsidRPr="005F232E">
        <w:rPr>
          <w:rFonts w:ascii="Adobe Garamond Pro" w:hAnsi="Adobe Garamond Pro"/>
          <w:sz w:val="24"/>
          <w:szCs w:val="24"/>
          <w:lang w:val="en-US"/>
        </w:rPr>
        <w:t xml:space="preserve"> F., </w:t>
      </w:r>
      <w:proofErr w:type="spellStart"/>
      <w:r w:rsidRPr="005F232E">
        <w:rPr>
          <w:rFonts w:ascii="Adobe Garamond Pro" w:hAnsi="Adobe Garamond Pro"/>
          <w:sz w:val="24"/>
          <w:szCs w:val="24"/>
          <w:lang w:val="en-US"/>
        </w:rPr>
        <w:t>Vincze</w:t>
      </w:r>
      <w:proofErr w:type="spellEnd"/>
      <w:r w:rsidRPr="005F232E">
        <w:rPr>
          <w:rFonts w:ascii="Adobe Garamond Pro" w:hAnsi="Adobe Garamond Pro"/>
          <w:sz w:val="24"/>
          <w:szCs w:val="24"/>
          <w:lang w:val="en-US"/>
        </w:rPr>
        <w:t xml:space="preserve"> L. (2011)</w:t>
      </w:r>
      <w:r>
        <w:rPr>
          <w:rFonts w:ascii="Adobe Garamond Pro" w:hAnsi="Adobe Garamond Pro"/>
          <w:sz w:val="24"/>
          <w:szCs w:val="24"/>
          <w:lang w:val="en-US"/>
        </w:rPr>
        <w:t xml:space="preserve"> Discrediting moves in political </w:t>
      </w:r>
      <w:r w:rsidRPr="005F232E">
        <w:rPr>
          <w:rFonts w:ascii="Adobe Garamond Pro" w:hAnsi="Adobe Garamond Pro"/>
          <w:sz w:val="24"/>
          <w:szCs w:val="24"/>
          <w:lang w:val="en-US"/>
        </w:rPr>
        <w:t xml:space="preserve">debate. In </w:t>
      </w:r>
      <w:proofErr w:type="spellStart"/>
      <w:r w:rsidRPr="005F232E">
        <w:rPr>
          <w:rFonts w:ascii="Adobe Garamond Pro" w:hAnsi="Adobe Garamond Pro"/>
          <w:sz w:val="24"/>
          <w:szCs w:val="24"/>
          <w:lang w:val="en-US"/>
        </w:rPr>
        <w:t>F.Ricci</w:t>
      </w:r>
      <w:proofErr w:type="spellEnd"/>
      <w:r w:rsidRPr="005F232E">
        <w:rPr>
          <w:rFonts w:ascii="Adobe Garamond Pro" w:hAnsi="Adobe Garamond Pro"/>
          <w:sz w:val="24"/>
          <w:szCs w:val="24"/>
          <w:lang w:val="en-US"/>
        </w:rPr>
        <w:t xml:space="preserve"> et al. (</w:t>
      </w:r>
      <w:proofErr w:type="spellStart"/>
      <w:r w:rsidRPr="005F232E">
        <w:rPr>
          <w:rFonts w:ascii="Adobe Garamond Pro" w:hAnsi="Adobe Garamond Pro"/>
          <w:sz w:val="24"/>
          <w:szCs w:val="24"/>
          <w:lang w:val="en-US"/>
        </w:rPr>
        <w:t>eds</w:t>
      </w:r>
      <w:proofErr w:type="spellEnd"/>
      <w:r w:rsidRPr="005F232E">
        <w:rPr>
          <w:rFonts w:ascii="Adobe Garamond Pro" w:hAnsi="Adobe Garamond Pro"/>
          <w:sz w:val="24"/>
          <w:szCs w:val="24"/>
          <w:lang w:val="en-US"/>
        </w:rPr>
        <w:t>) Proceedings of Second International Workshop on User Models for Motivational Systems: the affective and the rational routes to persuasion (UMMS 2011) (</w:t>
      </w:r>
      <w:proofErr w:type="spellStart"/>
      <w:r w:rsidRPr="005F232E">
        <w:rPr>
          <w:rFonts w:ascii="Adobe Garamond Pro" w:hAnsi="Adobe Garamond Pro"/>
          <w:sz w:val="24"/>
          <w:szCs w:val="24"/>
          <w:lang w:val="en-US"/>
        </w:rPr>
        <w:t>Girona</w:t>
      </w:r>
      <w:proofErr w:type="spellEnd"/>
      <w:r w:rsidRPr="005F232E">
        <w:rPr>
          <w:rFonts w:ascii="Adobe Garamond Pro" w:hAnsi="Adobe Garamond Pro"/>
          <w:sz w:val="24"/>
          <w:szCs w:val="24"/>
          <w:lang w:val="en-US"/>
        </w:rPr>
        <w:t xml:space="preserve">) Springer </w:t>
      </w:r>
      <w:proofErr w:type="spellStart"/>
      <w:r w:rsidRPr="005F232E">
        <w:rPr>
          <w:rFonts w:ascii="Adobe Garamond Pro" w:hAnsi="Adobe Garamond Pro"/>
          <w:sz w:val="24"/>
          <w:szCs w:val="24"/>
          <w:lang w:val="en-US"/>
        </w:rPr>
        <w:t>LNCS.pp</w:t>
      </w:r>
      <w:proofErr w:type="spellEnd"/>
      <w:r w:rsidRPr="005F232E">
        <w:rPr>
          <w:rFonts w:ascii="Adobe Garamond Pro" w:hAnsi="Adobe Garamond Pro"/>
          <w:sz w:val="24"/>
          <w:szCs w:val="24"/>
          <w:lang w:val="en-US"/>
        </w:rPr>
        <w:t>. 84-99 (ISSN 1613-0073).</w:t>
      </w:r>
    </w:p>
    <w:p w14:paraId="3156A0CF" w14:textId="77777777" w:rsidR="005F232E" w:rsidRPr="005F232E" w:rsidRDefault="005F232E" w:rsidP="005A4BEB">
      <w:pPr>
        <w:rPr>
          <w:rFonts w:ascii="Adobe Garamond Pro" w:hAnsi="Adobe Garamond Pro" w:cstheme="minorHAnsi"/>
          <w:sz w:val="24"/>
          <w:szCs w:val="24"/>
          <w:lang w:val="en-US"/>
        </w:rPr>
      </w:pPr>
    </w:p>
    <w:sectPr w:rsidR="005F232E" w:rsidRPr="005F232E" w:rsidSect="004B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EB"/>
    <w:rsid w:val="000043AD"/>
    <w:rsid w:val="00031C23"/>
    <w:rsid w:val="000439EF"/>
    <w:rsid w:val="00044689"/>
    <w:rsid w:val="00050922"/>
    <w:rsid w:val="00066991"/>
    <w:rsid w:val="0008572D"/>
    <w:rsid w:val="00086520"/>
    <w:rsid w:val="00093A68"/>
    <w:rsid w:val="000F2DDB"/>
    <w:rsid w:val="00114197"/>
    <w:rsid w:val="001273EE"/>
    <w:rsid w:val="00145504"/>
    <w:rsid w:val="00180D1C"/>
    <w:rsid w:val="00213165"/>
    <w:rsid w:val="00227BC3"/>
    <w:rsid w:val="002352B8"/>
    <w:rsid w:val="0025523B"/>
    <w:rsid w:val="00265AAB"/>
    <w:rsid w:val="00270F6E"/>
    <w:rsid w:val="002E6321"/>
    <w:rsid w:val="002E67EF"/>
    <w:rsid w:val="00311068"/>
    <w:rsid w:val="0031357D"/>
    <w:rsid w:val="00330B5C"/>
    <w:rsid w:val="0034619C"/>
    <w:rsid w:val="00360AC9"/>
    <w:rsid w:val="0039407B"/>
    <w:rsid w:val="003A30AD"/>
    <w:rsid w:val="003B31ED"/>
    <w:rsid w:val="003D49DF"/>
    <w:rsid w:val="003F381D"/>
    <w:rsid w:val="003F44A5"/>
    <w:rsid w:val="00404F59"/>
    <w:rsid w:val="00433730"/>
    <w:rsid w:val="00447157"/>
    <w:rsid w:val="00472D23"/>
    <w:rsid w:val="0047575B"/>
    <w:rsid w:val="00480738"/>
    <w:rsid w:val="004B3FA3"/>
    <w:rsid w:val="0052065C"/>
    <w:rsid w:val="005643E9"/>
    <w:rsid w:val="00575EB8"/>
    <w:rsid w:val="005A082D"/>
    <w:rsid w:val="005A4BEB"/>
    <w:rsid w:val="005D3E9C"/>
    <w:rsid w:val="005D3FE5"/>
    <w:rsid w:val="005E303A"/>
    <w:rsid w:val="005F232E"/>
    <w:rsid w:val="006351C8"/>
    <w:rsid w:val="00646DFB"/>
    <w:rsid w:val="00651CF2"/>
    <w:rsid w:val="00670532"/>
    <w:rsid w:val="0068722B"/>
    <w:rsid w:val="006A19B7"/>
    <w:rsid w:val="006A3E5B"/>
    <w:rsid w:val="006D07E0"/>
    <w:rsid w:val="006D2F4F"/>
    <w:rsid w:val="006E07D6"/>
    <w:rsid w:val="00717D6F"/>
    <w:rsid w:val="00724BA0"/>
    <w:rsid w:val="00735B4C"/>
    <w:rsid w:val="00736F40"/>
    <w:rsid w:val="00761154"/>
    <w:rsid w:val="007737F4"/>
    <w:rsid w:val="0079057C"/>
    <w:rsid w:val="007B524D"/>
    <w:rsid w:val="007C0CBB"/>
    <w:rsid w:val="007C11F6"/>
    <w:rsid w:val="00817AEC"/>
    <w:rsid w:val="008718CD"/>
    <w:rsid w:val="008751FD"/>
    <w:rsid w:val="008D3A48"/>
    <w:rsid w:val="008E0382"/>
    <w:rsid w:val="008E0CE7"/>
    <w:rsid w:val="008E438C"/>
    <w:rsid w:val="008E4820"/>
    <w:rsid w:val="008F54F9"/>
    <w:rsid w:val="009325C4"/>
    <w:rsid w:val="0093304F"/>
    <w:rsid w:val="00943884"/>
    <w:rsid w:val="009635FD"/>
    <w:rsid w:val="00973DEB"/>
    <w:rsid w:val="00995861"/>
    <w:rsid w:val="00997635"/>
    <w:rsid w:val="009C1C78"/>
    <w:rsid w:val="009D538C"/>
    <w:rsid w:val="00A037CA"/>
    <w:rsid w:val="00A06D4B"/>
    <w:rsid w:val="00A13B31"/>
    <w:rsid w:val="00A15CA6"/>
    <w:rsid w:val="00A24413"/>
    <w:rsid w:val="00A34AAC"/>
    <w:rsid w:val="00A410DA"/>
    <w:rsid w:val="00A47F57"/>
    <w:rsid w:val="00A90100"/>
    <w:rsid w:val="00AC261C"/>
    <w:rsid w:val="00AE25C7"/>
    <w:rsid w:val="00B3611D"/>
    <w:rsid w:val="00B70A9B"/>
    <w:rsid w:val="00B9592B"/>
    <w:rsid w:val="00BB251A"/>
    <w:rsid w:val="00BD1B6A"/>
    <w:rsid w:val="00BE56CC"/>
    <w:rsid w:val="00BF7117"/>
    <w:rsid w:val="00C01326"/>
    <w:rsid w:val="00C0372B"/>
    <w:rsid w:val="00C40E95"/>
    <w:rsid w:val="00C50E5B"/>
    <w:rsid w:val="00C6187B"/>
    <w:rsid w:val="00CA330D"/>
    <w:rsid w:val="00CA3444"/>
    <w:rsid w:val="00CB6A20"/>
    <w:rsid w:val="00CE472C"/>
    <w:rsid w:val="00D120F5"/>
    <w:rsid w:val="00D30247"/>
    <w:rsid w:val="00D56083"/>
    <w:rsid w:val="00D618BE"/>
    <w:rsid w:val="00D670AA"/>
    <w:rsid w:val="00D76183"/>
    <w:rsid w:val="00DD3CBA"/>
    <w:rsid w:val="00DD452C"/>
    <w:rsid w:val="00DE5AF5"/>
    <w:rsid w:val="00E60037"/>
    <w:rsid w:val="00EA2ABE"/>
    <w:rsid w:val="00EA6004"/>
    <w:rsid w:val="00EB5ECA"/>
    <w:rsid w:val="00EE4EDA"/>
    <w:rsid w:val="00F11EB8"/>
    <w:rsid w:val="00F12739"/>
    <w:rsid w:val="00F525F5"/>
    <w:rsid w:val="00F53543"/>
    <w:rsid w:val="00F84E41"/>
    <w:rsid w:val="00F970F0"/>
    <w:rsid w:val="00FE1550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01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5F232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5F232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5F232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5F232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1629</Words>
  <Characters>8178</Characters>
  <Application>Microsoft Macintosh Word</Application>
  <DocSecurity>0</DocSecurity>
  <Lines>174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kans-gil</dc:creator>
  <cp:lastModifiedBy>Petra Bernardini</cp:lastModifiedBy>
  <cp:revision>4</cp:revision>
  <dcterms:created xsi:type="dcterms:W3CDTF">2014-02-21T10:22:00Z</dcterms:created>
  <dcterms:modified xsi:type="dcterms:W3CDTF">2014-02-21T10:32:00Z</dcterms:modified>
</cp:coreProperties>
</file>