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BD49" w14:textId="43AA17EC" w:rsidR="008775D2" w:rsidRPr="0075799F" w:rsidRDefault="007F7BCF">
      <w:pPr>
        <w:pStyle w:val="Infotext"/>
        <w:spacing w:before="1920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4D168" wp14:editId="036284A3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400479" cy="910080"/>
            <wp:effectExtent l="0" t="0" r="0" b="4320"/>
            <wp:wrapSquare wrapText="bothSides"/>
            <wp:docPr id="2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479" cy="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sv-SE"/>
        </w:rPr>
        <w:t xml:space="preserve">Institutionen </w:t>
      </w:r>
      <w:r w:rsidRPr="0075799F">
        <w:rPr>
          <w:lang w:val="sv-SE"/>
        </w:rPr>
        <w:t>för kulturvetenskaper, avdelningen för</w:t>
      </w:r>
      <w:r w:rsidR="0075799F">
        <w:rPr>
          <w:lang w:val="sv-SE"/>
        </w:rPr>
        <w:t xml:space="preserve"> idé- och lärdomshistoria</w:t>
      </w:r>
      <w:r w:rsidRPr="0075799F">
        <w:rPr>
          <w:lang w:val="sv-SE"/>
        </w:rPr>
        <w:t xml:space="preserve"> </w:t>
      </w:r>
    </w:p>
    <w:p w14:paraId="2C7780D9" w14:textId="77777777" w:rsidR="008775D2" w:rsidRPr="0075799F" w:rsidRDefault="007F7BCF">
      <w:pPr>
        <w:pStyle w:val="Infotext"/>
        <w:rPr>
          <w:lang w:val="sv-SE"/>
        </w:rPr>
      </w:pPr>
      <w:r w:rsidRPr="0075799F">
        <w:rPr>
          <w:lang w:val="sv-SE"/>
        </w:rPr>
        <w:br w:type="column"/>
      </w:r>
      <w:r w:rsidRPr="0075799F">
        <w:rPr>
          <w:caps/>
          <w:lang w:val="sv-SE"/>
        </w:rPr>
        <w:t>LITTERATURLISTA</w:t>
      </w:r>
    </w:p>
    <w:p w14:paraId="7F96CAD0" w14:textId="77777777" w:rsidR="008775D2" w:rsidRPr="0075799F" w:rsidRDefault="008775D2">
      <w:pPr>
        <w:pStyle w:val="Sidfot"/>
        <w:ind w:left="0"/>
        <w:rPr>
          <w:lang w:val="sv-SE"/>
        </w:rPr>
      </w:pPr>
    </w:p>
    <w:p w14:paraId="56EF806D" w14:textId="77777777" w:rsidR="002721DF" w:rsidRPr="0075799F" w:rsidRDefault="002721DF">
      <w:pPr>
        <w:sectPr w:rsidR="002721DF" w:rsidRPr="0075799F">
          <w:type w:val="continuous"/>
          <w:pgSz w:w="11906" w:h="16838"/>
          <w:pgMar w:top="1417" w:right="1134" w:bottom="1134" w:left="1134" w:header="1134" w:footer="720" w:gutter="0"/>
          <w:cols w:num="2" w:space="720" w:equalWidth="0">
            <w:col w:w="4677" w:space="284"/>
            <w:col w:w="4677" w:space="0"/>
          </w:cols>
        </w:sectPr>
      </w:pPr>
    </w:p>
    <w:p w14:paraId="3D1EC0F8" w14:textId="3AA9DBA3" w:rsidR="008775D2" w:rsidRPr="0075799F" w:rsidRDefault="007F7BCF">
      <w:pPr>
        <w:pStyle w:val="Rubrik1"/>
        <w:rPr>
          <w:sz w:val="32"/>
          <w:szCs w:val="32"/>
          <w:lang w:val="sv-SE"/>
        </w:rPr>
      </w:pPr>
      <w:r w:rsidRPr="0075799F">
        <w:rPr>
          <w:sz w:val="32"/>
          <w:szCs w:val="32"/>
          <w:lang w:val="sv-SE"/>
        </w:rPr>
        <w:t>Kurslitteratur</w:t>
      </w:r>
      <w:r>
        <w:rPr>
          <w:sz w:val="32"/>
          <w:szCs w:val="32"/>
          <w:lang w:val="sv-SE"/>
        </w:rPr>
        <w:t xml:space="preserve"> för </w:t>
      </w:r>
      <w:r w:rsidR="0075799F">
        <w:rPr>
          <w:sz w:val="32"/>
          <w:szCs w:val="32"/>
          <w:lang w:val="sv-SE"/>
        </w:rPr>
        <w:t>(ILHS18) Idé- och lärdomshistoria: Historiebruk, nationalism och identitet, 7,5 hp, VT 202</w:t>
      </w:r>
      <w:r w:rsidR="001B3ADC">
        <w:rPr>
          <w:sz w:val="32"/>
          <w:szCs w:val="32"/>
          <w:lang w:val="sv-SE"/>
        </w:rPr>
        <w:t>4</w:t>
      </w:r>
    </w:p>
    <w:p w14:paraId="5FDDCF18" w14:textId="7E0FE026" w:rsidR="008775D2" w:rsidRDefault="007F7BCF">
      <w:pPr>
        <w:pStyle w:val="Rubrik2"/>
        <w:rPr>
          <w:rFonts w:ascii="Times New Roman" w:hAnsi="Times New Roman" w:cs="Times New Roman"/>
          <w:color w:val="00000A"/>
          <w:sz w:val="26"/>
          <w:szCs w:val="20"/>
          <w:lang w:val="sv-SE"/>
        </w:rPr>
      </w:pPr>
      <w:r w:rsidRPr="00553F69">
        <w:rPr>
          <w:rFonts w:ascii="Times New Roman" w:hAnsi="Times New Roman" w:cs="Times New Roman"/>
          <w:color w:val="00000A"/>
          <w:sz w:val="26"/>
          <w:szCs w:val="20"/>
          <w:lang w:val="sv-SE"/>
        </w:rPr>
        <w:t>Fastställd av institutionsstyrelsen</w:t>
      </w:r>
      <w:r w:rsidR="00205D40" w:rsidRPr="00553F69">
        <w:rPr>
          <w:rFonts w:ascii="Times New Roman" w:hAnsi="Times New Roman" w:cs="Times New Roman"/>
          <w:color w:val="00000A"/>
          <w:sz w:val="26"/>
          <w:szCs w:val="20"/>
          <w:lang w:val="sv-SE"/>
        </w:rPr>
        <w:t>, 2021-06-08.</w:t>
      </w:r>
    </w:p>
    <w:p w14:paraId="421717ED" w14:textId="00754C8F" w:rsidR="00553F69" w:rsidRPr="00553F69" w:rsidRDefault="00553F69" w:rsidP="00553F69">
      <w:pPr>
        <w:pStyle w:val="Textbody"/>
        <w:rPr>
          <w:lang w:val="sv-SE"/>
        </w:rPr>
      </w:pPr>
      <w:r>
        <w:rPr>
          <w:lang w:val="sv-SE"/>
        </w:rPr>
        <w:t xml:space="preserve">Reviderad av kursplanegruppen, </w:t>
      </w:r>
      <w:r w:rsidR="00CC093E">
        <w:rPr>
          <w:lang w:val="sv-SE"/>
        </w:rPr>
        <w:t>2023</w:t>
      </w:r>
      <w:r>
        <w:rPr>
          <w:lang w:val="sv-SE"/>
        </w:rPr>
        <w:t>-</w:t>
      </w:r>
      <w:r w:rsidR="00CC093E">
        <w:rPr>
          <w:lang w:val="sv-SE"/>
        </w:rPr>
        <w:t>03</w:t>
      </w:r>
      <w:r>
        <w:rPr>
          <w:lang w:val="sv-SE"/>
        </w:rPr>
        <w:t>-</w:t>
      </w:r>
      <w:r w:rsidR="00CC093E">
        <w:rPr>
          <w:lang w:val="sv-SE"/>
        </w:rPr>
        <w:t>30</w:t>
      </w:r>
      <w:r>
        <w:rPr>
          <w:lang w:val="sv-SE"/>
        </w:rPr>
        <w:t>.</w:t>
      </w:r>
    </w:p>
    <w:p w14:paraId="5B5EC63A" w14:textId="77777777" w:rsidR="008775D2" w:rsidRDefault="008775D2">
      <w:pPr>
        <w:pStyle w:val="Textbody"/>
        <w:rPr>
          <w:lang w:val="sv-SE"/>
        </w:rPr>
      </w:pPr>
    </w:p>
    <w:p w14:paraId="5DE7783C" w14:textId="01305DD8" w:rsidR="008775D2" w:rsidRDefault="007F7BCF">
      <w:pPr>
        <w:pStyle w:val="Textbody"/>
        <w:rPr>
          <w:lang w:val="sv-SE"/>
        </w:rPr>
      </w:pPr>
      <w:r>
        <w:rPr>
          <w:lang w:val="sv-SE"/>
        </w:rPr>
        <w:t>Litteraturen söks i LUBcat och/eller LUBsearch om inget annat anges.</w:t>
      </w:r>
    </w:p>
    <w:p w14:paraId="378CE4E9" w14:textId="33369663" w:rsidR="00205D40" w:rsidRDefault="00205D40">
      <w:pPr>
        <w:pStyle w:val="Textbody"/>
        <w:rPr>
          <w:lang w:val="sv-SE"/>
        </w:rPr>
      </w:pPr>
    </w:p>
    <w:p w14:paraId="5733C7CC" w14:textId="53A65E16" w:rsidR="008775D2" w:rsidRPr="00205D40" w:rsidRDefault="00205D40" w:rsidP="00205D40">
      <w:pPr>
        <w:pStyle w:val="Textbody"/>
        <w:rPr>
          <w:b/>
          <w:bCs/>
          <w:lang w:val="en-US"/>
        </w:rPr>
      </w:pPr>
      <w:r w:rsidRPr="00205D40">
        <w:rPr>
          <w:b/>
          <w:bCs/>
          <w:lang w:val="en-US"/>
        </w:rPr>
        <w:t>Obligatorisk l</w:t>
      </w:r>
      <w:r>
        <w:rPr>
          <w:b/>
          <w:bCs/>
          <w:lang w:val="en-US"/>
        </w:rPr>
        <w:t>itteratur</w:t>
      </w:r>
    </w:p>
    <w:p w14:paraId="1085A69D" w14:textId="72559C4A" w:rsidR="00205D40" w:rsidRPr="00205D40" w:rsidRDefault="00205D40" w:rsidP="00205D40">
      <w:pPr>
        <w:pStyle w:val="Textbody"/>
        <w:rPr>
          <w:lang w:val="en-US"/>
        </w:rPr>
      </w:pPr>
    </w:p>
    <w:p w14:paraId="147851C4" w14:textId="32FAE620" w:rsid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American Historical Association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“Statement on Confederate Monuments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” 28 augusti 2017. </w:t>
      </w:r>
      <w:r w:rsidRPr="00205D40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Tillgänglig </w:t>
      </w:r>
      <w:r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genom: </w:t>
      </w:r>
      <w:hyperlink r:id="rId8" w:history="1">
        <w:r w:rsidR="00553F69" w:rsidRPr="003D217E">
          <w:rPr>
            <w:rStyle w:val="Hyperlnk"/>
            <w:rFonts w:ascii="Times New Roman" w:eastAsia="Yu Mincho" w:hAnsi="Times New Roman"/>
            <w:kern w:val="0"/>
            <w:sz w:val="24"/>
            <w:szCs w:val="22"/>
            <w:lang w:eastAsia="ja-JP"/>
          </w:rPr>
          <w:t>https://www.historians.org/news-and-advocacy/aha-advocacy/aha-statement-on-confederate-monuments</w:t>
        </w:r>
      </w:hyperlink>
      <w:r w:rsidRPr="00205D40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. </w:t>
      </w:r>
      <w:r w:rsidRPr="00553F69">
        <w:rPr>
          <w:rFonts w:ascii="Times New Roman" w:eastAsia="Yu Mincho" w:hAnsi="Times New Roman"/>
          <w:kern w:val="0"/>
          <w:sz w:val="24"/>
          <w:szCs w:val="22"/>
          <w:lang w:eastAsia="ja-JP"/>
        </w:rPr>
        <w:t>(3 s.)</w:t>
      </w:r>
    </w:p>
    <w:p w14:paraId="5E5B2766" w14:textId="0B3C8681" w:rsidR="009A0FA6" w:rsidRPr="0072630D" w:rsidRDefault="009A0FA6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Assmann, Jan. 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“</w:t>
      </w:r>
      <w:r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Collective Memory and Cultural Identity.” </w:t>
      </w:r>
      <w:r w:rsidRPr="0072630D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Ingår i </w:t>
      </w:r>
      <w:r w:rsidRPr="0072630D"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>New German Critique</w:t>
      </w:r>
      <w:r w:rsidRPr="0072630D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 1995, no. 65. DOI 10.2307/488538 (s. 125-133).</w:t>
      </w:r>
    </w:p>
    <w:p w14:paraId="66E5794F" w14:textId="2E6A07B0" w:rsidR="00205D40" w:rsidRPr="0072630D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Bell, David A.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“Is it Still Okay to Venerate George Washington and Thomas Jefferson?”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Washington Post</w:t>
      </w:r>
      <w:r>
        <w:rPr>
          <w:rFonts w:ascii="Times New Roman" w:eastAsia="Yu Mincho" w:hAnsi="Times New Roman"/>
          <w:iCs/>
          <w:kern w:val="0"/>
          <w:sz w:val="24"/>
          <w:szCs w:val="22"/>
          <w:lang w:val="en-US" w:eastAsia="ja-JP"/>
        </w:rPr>
        <w:t>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17 augusti 2017. </w:t>
      </w:r>
      <w:r w:rsidR="007E6A61" w:rsidRPr="0072630D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Tillgänglig genom: </w:t>
      </w:r>
      <w:hyperlink r:id="rId9" w:history="1">
        <w:r w:rsidR="00553F69" w:rsidRPr="0072630D">
          <w:rPr>
            <w:rStyle w:val="Hyperlnk"/>
            <w:rFonts w:ascii="Times New Roman" w:eastAsia="Yu Mincho" w:hAnsi="Times New Roman"/>
            <w:kern w:val="0"/>
            <w:sz w:val="24"/>
            <w:szCs w:val="22"/>
            <w:lang w:val="en-US" w:eastAsia="ja-JP"/>
          </w:rPr>
          <w:t>https://www.washingtonpost.com/news/posteverything/wp/2017/08/17/yes-washington-and-jefferson-owned-slaves-trump-is-still-wrong-about-robert-e-lee/</w:t>
        </w:r>
      </w:hyperlink>
      <w:r w:rsidR="007E6A61" w:rsidRPr="0072630D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72630D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(2 s.)</w:t>
      </w:r>
    </w:p>
    <w:p w14:paraId="0C6BB2E1" w14:textId="3F044EEC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Cohen, Stanley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(2001),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States of Denial: Knowing about Atrocities and Suffering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 Cambridge: Polity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. ISBN 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978-0-7456-2392-4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s. 1-20, 101-116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</w:p>
    <w:p w14:paraId="1ABA19CA" w14:textId="2D9E4389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Conrad, Sebastian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(2010),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The Quest for the Lost Nation: Writing History in Germany and Japan in the American Century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 Berkeley: University of California Press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 ISBN 978-0-520-25944-7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s. 244-261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</w:t>
      </w:r>
    </w:p>
    <w:p w14:paraId="707C08C3" w14:textId="7C5324A9" w:rsidR="00205D40" w:rsidRPr="00902C0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Dulic, Tomislav (red.)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(2020),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Memories in Conflict: Historical Trauma, Collective Memory and Justice since 1989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. </w:t>
      </w:r>
      <w:r w:rsidRPr="0072630D">
        <w:rPr>
          <w:rFonts w:ascii="Times New Roman" w:eastAsia="Yu Mincho" w:hAnsi="Times New Roman"/>
          <w:kern w:val="0"/>
          <w:sz w:val="24"/>
          <w:szCs w:val="22"/>
          <w:lang w:eastAsia="ja-JP"/>
        </w:rPr>
        <w:t>Uppsala: Opuscula Historica Upsaliensia 59.</w:t>
      </w:r>
      <w:r w:rsidR="007E6A61" w:rsidRPr="0072630D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 </w:t>
      </w:r>
      <w:r w:rsidR="007E6A61" w:rsidRPr="00902C00">
        <w:rPr>
          <w:rFonts w:ascii="Times New Roman" w:eastAsia="Yu Mincho" w:hAnsi="Times New Roman"/>
          <w:kern w:val="0"/>
          <w:sz w:val="24"/>
          <w:szCs w:val="22"/>
          <w:lang w:eastAsia="ja-JP"/>
        </w:rPr>
        <w:t>ISBN 978-91-984509-4-1 (</w:t>
      </w:r>
      <w:r w:rsidRPr="00902C00">
        <w:rPr>
          <w:rFonts w:ascii="Times New Roman" w:eastAsia="Yu Mincho" w:hAnsi="Times New Roman"/>
          <w:kern w:val="0"/>
          <w:sz w:val="24"/>
          <w:szCs w:val="22"/>
          <w:lang w:eastAsia="ja-JP"/>
        </w:rPr>
        <w:t>120</w:t>
      </w:r>
      <w:r w:rsidR="007E6A61" w:rsidRPr="00902C00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 s</w:t>
      </w:r>
      <w:r w:rsidRPr="00902C00">
        <w:rPr>
          <w:rFonts w:ascii="Times New Roman" w:eastAsia="Yu Mincho" w:hAnsi="Times New Roman"/>
          <w:kern w:val="0"/>
          <w:sz w:val="24"/>
          <w:szCs w:val="22"/>
          <w:lang w:eastAsia="ja-JP"/>
        </w:rPr>
        <w:t>.</w:t>
      </w:r>
      <w:r w:rsidR="007E6A61" w:rsidRPr="00902C00">
        <w:rPr>
          <w:rFonts w:ascii="Times New Roman" w:eastAsia="Yu Mincho" w:hAnsi="Times New Roman"/>
          <w:kern w:val="0"/>
          <w:sz w:val="24"/>
          <w:szCs w:val="22"/>
          <w:lang w:eastAsia="ja-JP"/>
        </w:rPr>
        <w:t>)</w:t>
      </w:r>
    </w:p>
    <w:p w14:paraId="61690B63" w14:textId="6569B6D1" w:rsidR="00205D40" w:rsidRPr="00205D40" w:rsidRDefault="00205D40" w:rsidP="007E6A61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72630D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Edling, Silvia et al.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“The Good Citizen: Revisiting Moral Motivations for Introducing Historical Consciousness in History Education Drawing on the Writings of Gadamer.”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lastRenderedPageBreak/>
        <w:t>Ingår i: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Citizenship, Social and Economics Education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2020, vol.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19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no.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2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DOI </w:t>
      </w:r>
      <w:r w:rsidR="007E6A61" w:rsidRP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10.1177/2047173420936622</w:t>
      </w:r>
      <w:r w:rsidR="007E6A61"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(s. 133–150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). </w:t>
      </w:r>
    </w:p>
    <w:p w14:paraId="15E6BA32" w14:textId="2D3D5E00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Ghazaryan, Nariné. “A Centenary of Denial: The Case of the Armenian Genocide.” 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  <w:t>Ingår i:</w:t>
      </w:r>
      <w:r w:rsidRPr="00205D40">
        <w:rPr>
          <w:rFonts w:ascii="Times New Roman" w:eastAsia="Yu Mincho" w:hAnsi="Times New Roman"/>
          <w:iCs/>
          <w:kern w:val="0"/>
          <w:sz w:val="24"/>
          <w:szCs w:val="22"/>
          <w:lang w:val="en-US" w:eastAsia="ja-JP"/>
        </w:rPr>
        <w:t xml:space="preserve">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Holocaust and Genocide Denial: A Contextual Perspective</w:t>
      </w:r>
      <w:r w:rsidR="007E6A61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 xml:space="preserve"> </w:t>
      </w:r>
      <w:r w:rsidR="007E6A61">
        <w:rPr>
          <w:rFonts w:ascii="Times New Roman" w:eastAsia="Yu Mincho" w:hAnsi="Times New Roman"/>
          <w:iCs/>
          <w:kern w:val="0"/>
          <w:sz w:val="24"/>
          <w:szCs w:val="22"/>
          <w:lang w:val="en-US" w:eastAsia="ja-JP"/>
        </w:rPr>
        <w:t>(2017)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</w:t>
      </w:r>
      <w:r w:rsidR="007E6A61" w:rsidRPr="00205D40">
        <w:rPr>
          <w:rFonts w:ascii="Times New Roman" w:eastAsia="Yu Mincho" w:hAnsi="Times New Roman"/>
          <w:iCs/>
          <w:kern w:val="0"/>
          <w:sz w:val="24"/>
          <w:szCs w:val="22"/>
          <w:lang w:val="en-US" w:eastAsia="ja-JP"/>
        </w:rPr>
        <w:t>Paul Behrens, Olaf Jensen &amp; Nicholas Terry (red.)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Oxon: Routledge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 ISBN</w:t>
      </w:r>
      <w:r w:rsidR="00C2770D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C2770D" w:rsidRPr="00C2770D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9780367024253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s. 170-185</w:t>
      </w:r>
      <w:r w:rsidR="007E6A61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</w:p>
    <w:p w14:paraId="4F81D2DA" w14:textId="283E37A3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Grossman, James. “Historical Malpractice and the Writing of Textbooks.” 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</w:r>
      <w:r w:rsidR="00FF60B5" w:rsidRPr="00FF60B5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Ingår i: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eastAsia="ja-JP"/>
        </w:rPr>
        <w:t>AHA Today</w:t>
      </w:r>
      <w:r w:rsidRPr="00205D40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, 1 </w:t>
      </w:r>
      <w:proofErr w:type="gramStart"/>
      <w:r w:rsidRPr="00205D40">
        <w:rPr>
          <w:rFonts w:ascii="Times New Roman" w:eastAsia="Yu Mincho" w:hAnsi="Times New Roman"/>
          <w:kern w:val="0"/>
          <w:sz w:val="24"/>
          <w:szCs w:val="22"/>
          <w:lang w:eastAsia="ja-JP"/>
        </w:rPr>
        <w:t>December</w:t>
      </w:r>
      <w:proofErr w:type="gramEnd"/>
      <w:r w:rsidRPr="00205D40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 2010. </w:t>
      </w:r>
      <w:r w:rsidR="00FF60B5">
        <w:rPr>
          <w:rFonts w:ascii="Times New Roman" w:eastAsia="Yu Mincho" w:hAnsi="Times New Roman"/>
          <w:kern w:val="0"/>
          <w:sz w:val="24"/>
          <w:szCs w:val="22"/>
          <w:lang w:eastAsia="ja-JP"/>
        </w:rPr>
        <w:br/>
        <w:t xml:space="preserve">Tillgänglig genom: </w:t>
      </w:r>
      <w:hyperlink r:id="rId10" w:history="1">
        <w:r w:rsidR="00553F69" w:rsidRPr="003D217E">
          <w:rPr>
            <w:rStyle w:val="Hyperlnk"/>
            <w:rFonts w:ascii="Times New Roman" w:eastAsia="Yu Mincho" w:hAnsi="Times New Roman"/>
            <w:kern w:val="0"/>
            <w:sz w:val="24"/>
            <w:szCs w:val="22"/>
            <w:lang w:eastAsia="ja-JP"/>
          </w:rPr>
          <w:t>https://www.historians.org/publications-and-directories/perspectives-on-history/december-2010/historical-malpractice-and-the-writing-of-textbooks</w:t>
        </w:r>
      </w:hyperlink>
      <w:r w:rsidR="00FF60B5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 (</w:t>
      </w:r>
      <w:r w:rsidRPr="00205D40">
        <w:rPr>
          <w:rFonts w:ascii="Times New Roman" w:eastAsia="Yu Mincho" w:hAnsi="Times New Roman"/>
          <w:kern w:val="0"/>
          <w:sz w:val="24"/>
          <w:szCs w:val="22"/>
          <w:lang w:eastAsia="ja-JP"/>
        </w:rPr>
        <w:t>3 s</w:t>
      </w:r>
      <w:r w:rsidR="00FF60B5">
        <w:rPr>
          <w:rFonts w:ascii="Times New Roman" w:eastAsia="Yu Mincho" w:hAnsi="Times New Roman"/>
          <w:kern w:val="0"/>
          <w:sz w:val="24"/>
          <w:szCs w:val="22"/>
          <w:lang w:eastAsia="ja-JP"/>
        </w:rPr>
        <w:t>.)</w:t>
      </w:r>
    </w:p>
    <w:p w14:paraId="4282C1FF" w14:textId="78FDD4FF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Grossman, James. “Whose Memory? Whose Monuments? History, Commemoration and the Struggle for an Ethical Past.” 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</w:r>
      <w:r w:rsidR="00FF60B5" w:rsidRPr="00902C00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Ingår i: </w:t>
      </w:r>
      <w:r w:rsidRPr="00902C00">
        <w:rPr>
          <w:rFonts w:ascii="Times New Roman" w:eastAsia="Yu Mincho" w:hAnsi="Times New Roman"/>
          <w:i/>
          <w:kern w:val="0"/>
          <w:sz w:val="24"/>
          <w:szCs w:val="22"/>
          <w:lang w:eastAsia="ja-JP"/>
        </w:rPr>
        <w:t>AHA Today</w:t>
      </w:r>
      <w:r w:rsidRPr="00902C00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, 1 February 2016. </w:t>
      </w:r>
      <w:r w:rsidR="00FF60B5" w:rsidRPr="00902C00">
        <w:rPr>
          <w:rFonts w:ascii="Times New Roman" w:eastAsia="Yu Mincho" w:hAnsi="Times New Roman"/>
          <w:kern w:val="0"/>
          <w:sz w:val="24"/>
          <w:szCs w:val="22"/>
          <w:lang w:eastAsia="ja-JP"/>
        </w:rPr>
        <w:br/>
      </w:r>
      <w:r w:rsidR="00FF60B5" w:rsidRPr="00FF60B5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Tillgänglig </w:t>
      </w:r>
      <w:r w:rsidR="00FF60B5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genom: </w:t>
      </w:r>
      <w:hyperlink r:id="rId11" w:history="1">
        <w:r w:rsidR="00553F69" w:rsidRPr="003D217E">
          <w:rPr>
            <w:rStyle w:val="Hyperlnk"/>
            <w:rFonts w:ascii="Times New Roman" w:eastAsia="Yu Mincho" w:hAnsi="Times New Roman"/>
            <w:kern w:val="0"/>
            <w:sz w:val="24"/>
            <w:szCs w:val="22"/>
            <w:lang w:eastAsia="ja-JP"/>
          </w:rPr>
          <w:t>https://www.historians.org/publications-and-directories/perspectives-on-history/february-2016/whose-memory-whose-monuments-history-commemoration-and-the-struggle-for-an-ethical-past</w:t>
        </w:r>
      </w:hyperlink>
      <w:r w:rsidR="00FF60B5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 (</w:t>
      </w:r>
      <w:r w:rsidRPr="00205D40">
        <w:rPr>
          <w:rFonts w:ascii="Times New Roman" w:eastAsia="Yu Mincho" w:hAnsi="Times New Roman"/>
          <w:kern w:val="0"/>
          <w:sz w:val="24"/>
          <w:szCs w:val="22"/>
          <w:lang w:eastAsia="ja-JP"/>
        </w:rPr>
        <w:t>3 s.</w:t>
      </w:r>
      <w:r w:rsidR="00FF60B5">
        <w:rPr>
          <w:rFonts w:ascii="Times New Roman" w:eastAsia="Yu Mincho" w:hAnsi="Times New Roman"/>
          <w:kern w:val="0"/>
          <w:sz w:val="24"/>
          <w:szCs w:val="22"/>
          <w:lang w:eastAsia="ja-JP"/>
        </w:rPr>
        <w:t>)</w:t>
      </w:r>
    </w:p>
    <w:p w14:paraId="2D593472" w14:textId="62390557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Gustafsson, Karl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“How to Make Former Aggressors Repent through Shaming and Praising: The Case of Sino-Japanese Relations” 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  <w:t xml:space="preserve">Ingår i: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Global Affairs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2015, vol.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no.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3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. DOI </w:t>
      </w:r>
      <w:r w:rsidR="00FF60B5" w:rsidRP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10.1080/23340460.2015.1048625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s. 315-324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</w:p>
    <w:p w14:paraId="523DC6F7" w14:textId="7899E32D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Gustafsson, Karl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“Memory Politics and Ontological Security in Sino-Japanese Relations” 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  <w:t xml:space="preserve">Ingår i: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Asian Studies Review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2014, vol.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38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no.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. DOI </w:t>
      </w:r>
      <w:r w:rsidR="00FF60B5" w:rsidRP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10.1080/10357823.2013.852156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s. 71-86</w:t>
      </w:r>
      <w:r w:rsidR="00FF60B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</w:p>
    <w:p w14:paraId="2706CB7F" w14:textId="6C649DF5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Hjorthén, Adam</w:t>
      </w:r>
      <w:r w:rsidR="00550D8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(2018)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205D40"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>Cross-Border Commemorations: Celebrating Swedish Settlement in America</w:t>
      </w:r>
      <w:r w:rsidR="00550D85"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>.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 xml:space="preserve">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Amherst: University of Massachusetts Press</w:t>
      </w:r>
      <w:r w:rsidR="00550D8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. ISBN </w:t>
      </w:r>
      <w:r w:rsidR="00550D85" w:rsidRPr="00550D8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978-1625343840</w:t>
      </w:r>
      <w:r w:rsidR="00550D8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s. 1-16, 63-93, 176-193</w:t>
      </w:r>
      <w:r w:rsidR="00550D8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</w:p>
    <w:p w14:paraId="4AB991D7" w14:textId="590F6F80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Hogan, Michael J</w:t>
      </w:r>
      <w:r w:rsidR="00550D8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“The Enola Gay Controversy: History, Memory and the Politics of Presentation.” </w:t>
      </w:r>
      <w:r w:rsidR="00550D8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  <w:t>Ingår i: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Hiroshima in History and Memory</w:t>
      </w:r>
      <w:r w:rsidR="00550D85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 xml:space="preserve"> </w:t>
      </w:r>
      <w:r w:rsidR="00550D85">
        <w:rPr>
          <w:rFonts w:ascii="Times New Roman" w:eastAsia="Yu Mincho" w:hAnsi="Times New Roman"/>
          <w:iCs/>
          <w:kern w:val="0"/>
          <w:sz w:val="24"/>
          <w:szCs w:val="22"/>
          <w:lang w:val="en-US" w:eastAsia="ja-JP"/>
        </w:rPr>
        <w:t>(1996)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 xml:space="preserve">. </w:t>
      </w:r>
      <w:r w:rsidR="00550D85"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Michael J. Hogan (red.)</w:t>
      </w:r>
      <w:r w:rsidR="00550D8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</w:t>
      </w:r>
      <w:r w:rsidR="00550D85"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Cambridge: Cambridge University Press</w:t>
      </w:r>
      <w:r w:rsidR="00550D8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 ISBN 978-0-521-56682-7 (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s. 200-232</w:t>
      </w:r>
      <w:r w:rsidR="00550D8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</w:p>
    <w:p w14:paraId="4C1CC29E" w14:textId="1AC216F7" w:rsidR="00205D40" w:rsidRPr="00205D40" w:rsidRDefault="00205D40" w:rsidP="00E21612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Holmes, Carolyn E.</w:t>
      </w:r>
      <w:r w:rsidR="00E21612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&amp;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Melanie Loehwing</w:t>
      </w:r>
      <w:r w:rsidR="00E21612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“Icons of the Old Regime: Challenging South African Public Memory Strategies in #RhodesMustFall.” </w:t>
      </w:r>
      <w:r w:rsidR="00E21612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  <w:t xml:space="preserve">Ingår i: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Journal of Southern African Studies</w:t>
      </w:r>
      <w:r w:rsidR="00E21612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 xml:space="preserve"> </w:t>
      </w:r>
      <w:r w:rsidR="00E21612">
        <w:rPr>
          <w:rFonts w:ascii="Times New Roman" w:eastAsia="Yu Mincho" w:hAnsi="Times New Roman"/>
          <w:iCs/>
          <w:kern w:val="0"/>
          <w:sz w:val="24"/>
          <w:szCs w:val="22"/>
          <w:lang w:val="en-US" w:eastAsia="ja-JP"/>
        </w:rPr>
        <w:t>2016, vol.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42</w:t>
      </w:r>
      <w:r w:rsidR="00E21612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no.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6</w:t>
      </w:r>
      <w:r w:rsidR="00E21612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DOI </w:t>
      </w:r>
      <w:r w:rsidR="00FB166F" w:rsidRP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10.1080/03057070.2016.1253927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E21612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s. 1207-1223</w:t>
      </w:r>
      <w:r w:rsidR="00E21612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</w:p>
    <w:p w14:paraId="0662F541" w14:textId="44AF8486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Innes, Melanie 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&amp;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Heather Sharp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“World War I Commemoration and Student Historical Consciousness: A Study of High-School Students’ Views</w:t>
      </w:r>
      <w:r w:rsidR="00DE5C7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” 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  <w:t xml:space="preserve">Ingår i: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History Education Research Journal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2018, vol.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15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no.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2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DOI </w:t>
      </w:r>
      <w:r w:rsidR="00FB166F" w:rsidRP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10.18546/HERJ.15.2.03 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(s.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193–205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</w:t>
      </w:r>
    </w:p>
    <w:p w14:paraId="1D676787" w14:textId="18530066" w:rsid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eastAsia="ja-JP"/>
        </w:rPr>
        <w:t>Karlsson, Klas-Göran &amp; Ulf Zander (red.)</w:t>
      </w:r>
      <w:r w:rsidR="00FB166F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 (2009),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eastAsia="ja-JP"/>
        </w:rPr>
        <w:t>Historien är nu: En Introduktion till historiedidaktiken</w:t>
      </w:r>
      <w:r w:rsidRPr="00205D40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. </w:t>
      </w:r>
      <w:proofErr w:type="gramStart"/>
      <w:r w:rsidRPr="00553F6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2:a</w:t>
      </w:r>
      <w:proofErr w:type="gramEnd"/>
      <w:r w:rsidRPr="00553F6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upplagan.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Lund: Studentlitteraturen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. ISBN </w:t>
      </w:r>
      <w:r w:rsidR="00FB166F" w:rsidRP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9789144052083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s. 25-69, 107-130, 343-360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  <w:r w:rsidR="00F3276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</w:t>
      </w:r>
    </w:p>
    <w:p w14:paraId="1EF4FE1C" w14:textId="405F78C1" w:rsidR="00F32760" w:rsidRDefault="00F32760" w:rsidP="00F3276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F3276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Koposov, Nikolay. “Holocaust Remembrance, the Cult of the War, and Memory Laws in Putin’s Russia.” Ingår i: Elazar Barkan &amp; Ariella Lang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</w:t>
      </w:r>
      <w:r w:rsidRPr="00F3276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red.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  <w:r w:rsidRPr="00F3276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F32760"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>Memory Laws and Historical Justice</w:t>
      </w:r>
      <w:r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 xml:space="preserve"> </w:t>
      </w:r>
      <w:r w:rsidRPr="00F3276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(2022). 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Cham: </w:t>
      </w:r>
      <w:r w:rsidRPr="00F3276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Palgrave Macmillan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</w:t>
      </w:r>
      <w:r w:rsidRPr="00F3276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ISBN: </w:t>
      </w:r>
      <w:r w:rsidRPr="00F3276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978-3-030-94914-3 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</w:t>
      </w:r>
      <w:r w:rsidRPr="00F3276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s. 131-165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</w:p>
    <w:p w14:paraId="31B45087" w14:textId="1F7318BE" w:rsidR="00D40365" w:rsidRPr="00D40365" w:rsidRDefault="00D40365" w:rsidP="00D40365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D4036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lastRenderedPageBreak/>
        <w:t>Lotem, Itay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(2021),</w:t>
      </w:r>
      <w:r w:rsidRPr="00D4036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D40365"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>The Memory of Colonialism in Britain and France: The Sins of Silence</w:t>
      </w:r>
      <w:r w:rsidRPr="00D4036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 Cham: Palgrave Macmillan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. ISBN: </w:t>
      </w:r>
      <w:r w:rsidRPr="00D40365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978-3-030-63719-4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9A0FA6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(s. </w:t>
      </w:r>
      <w:r w:rsidR="009A0FA6" w:rsidRPr="0072630D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1-22, 91-130, 337-391)</w:t>
      </w:r>
      <w:r w:rsidR="009A0FA6" w:rsidRPr="009A0FA6" w:rsidDel="009A0FA6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</w:p>
    <w:p w14:paraId="24F4BA60" w14:textId="3F59F779" w:rsidR="00553F69" w:rsidRPr="00553F69" w:rsidRDefault="00DE5C70" w:rsidP="00DE5C7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eastAsia="ja-JP"/>
        </w:rPr>
      </w:pPr>
      <w:r w:rsidRPr="00DE5C7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Mladenova, Dorothea. “The Statue of Peace in Berlin: How the Nationalist Reading of Japan’s Wartime ‘Comfort Women’ Backfired.” </w:t>
      </w:r>
      <w:r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</w:r>
      <w:r w:rsidRPr="00553F6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Ingår i: </w:t>
      </w:r>
      <w:r w:rsidRPr="00553F69">
        <w:rPr>
          <w:rFonts w:ascii="Times New Roman" w:eastAsia="Yu Mincho" w:hAnsi="Times New Roman"/>
          <w:i/>
          <w:iCs/>
          <w:kern w:val="0"/>
          <w:sz w:val="24"/>
          <w:szCs w:val="22"/>
          <w:lang w:val="en-US" w:eastAsia="ja-JP"/>
        </w:rPr>
        <w:t>The Asia-Pacific Journal: Japan Focus</w:t>
      </w:r>
      <w:r w:rsidRPr="00553F6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2022, vol. 20, no. 4</w:t>
      </w:r>
      <w:r w:rsidR="00E41CBD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E41CBD" w:rsidRPr="00553F6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(28 s</w:t>
      </w:r>
      <w:r w:rsidR="00E41CBD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</w:t>
      </w:r>
      <w:r w:rsidR="00E41CBD" w:rsidRPr="00553F69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  <w:r w:rsidR="00E41CBD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D62C69" w:rsidRPr="00553F69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Tillgänglig genom: </w:t>
      </w:r>
      <w:hyperlink r:id="rId12" w:history="1">
        <w:r w:rsidR="00553F69" w:rsidRPr="00553F69">
          <w:rPr>
            <w:rStyle w:val="Hyperlnk"/>
            <w:rFonts w:ascii="Times New Roman" w:eastAsia="Yu Mincho" w:hAnsi="Times New Roman"/>
            <w:kern w:val="0"/>
            <w:sz w:val="24"/>
            <w:szCs w:val="22"/>
            <w:lang w:eastAsia="ja-JP"/>
          </w:rPr>
          <w:t>https://apjjf.org/2022/4/Mladenova.html</w:t>
        </w:r>
      </w:hyperlink>
      <w:r w:rsidR="00553F69" w:rsidRPr="00553F69">
        <w:rPr>
          <w:rFonts w:ascii="Times New Roman" w:eastAsia="Yu Mincho" w:hAnsi="Times New Roman"/>
          <w:kern w:val="0"/>
          <w:sz w:val="24"/>
          <w:szCs w:val="22"/>
          <w:lang w:eastAsia="ja-JP"/>
        </w:rPr>
        <w:t>.</w:t>
      </w:r>
      <w:r w:rsidR="00553F69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 </w:t>
      </w:r>
    </w:p>
    <w:p w14:paraId="22FB6044" w14:textId="2B6AB5DE" w:rsid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eastAsia="ja-JP"/>
        </w:rPr>
      </w:pPr>
      <w:r w:rsidRPr="00553F69">
        <w:rPr>
          <w:rFonts w:ascii="Times New Roman" w:eastAsia="Yu Mincho" w:hAnsi="Times New Roman"/>
          <w:kern w:val="0"/>
          <w:sz w:val="24"/>
          <w:szCs w:val="22"/>
          <w:lang w:eastAsia="ja-JP"/>
        </w:rPr>
        <w:t>Mörner, Ninna</w:t>
      </w:r>
      <w:r w:rsidR="00FB166F" w:rsidRPr="00553F69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 (</w:t>
      </w:r>
      <w:r w:rsidRPr="00553F69">
        <w:rPr>
          <w:rFonts w:ascii="Times New Roman" w:eastAsia="Yu Mincho" w:hAnsi="Times New Roman"/>
          <w:kern w:val="0"/>
          <w:sz w:val="24"/>
          <w:szCs w:val="22"/>
          <w:lang w:eastAsia="ja-JP"/>
        </w:rPr>
        <w:t>red.</w:t>
      </w:r>
      <w:r w:rsidR="00FB166F" w:rsidRPr="00553F69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) 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(2020),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Constructions and Instrumentalization of the Past: A Comparative Study on Memory Management in the Region [Eastern Europe]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 Stockholm: Centre for Baltic and East European Studies, CBEES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 ISBN</w:t>
      </w:r>
      <w:r w:rsidR="00FB166F" w:rsidRPr="00902C00">
        <w:rPr>
          <w:lang w:val="en-US"/>
        </w:rPr>
        <w:t xml:space="preserve"> </w:t>
      </w:r>
      <w:r w:rsidR="00FB166F" w:rsidRP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978-91-85139-12-5</w:t>
      </w:r>
      <w:r w:rsidR="00FB166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FB166F" w:rsidRPr="00902C00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(s. </w:t>
      </w:r>
      <w:proofErr w:type="gramStart"/>
      <w:r w:rsidR="00F32760" w:rsidRPr="00F32760">
        <w:rPr>
          <w:rFonts w:ascii="Times New Roman" w:eastAsia="Yu Mincho" w:hAnsi="Times New Roman"/>
          <w:kern w:val="0"/>
          <w:sz w:val="24"/>
          <w:szCs w:val="22"/>
          <w:lang w:eastAsia="ja-JP"/>
        </w:rPr>
        <w:t>9-</w:t>
      </w:r>
      <w:r w:rsidR="009A0FA6">
        <w:rPr>
          <w:rFonts w:ascii="Times New Roman" w:eastAsia="Yu Mincho" w:hAnsi="Times New Roman"/>
          <w:kern w:val="0"/>
          <w:sz w:val="24"/>
          <w:szCs w:val="22"/>
          <w:lang w:eastAsia="ja-JP"/>
        </w:rPr>
        <w:t>28</w:t>
      </w:r>
      <w:proofErr w:type="gramEnd"/>
      <w:r w:rsidR="00F32760" w:rsidRPr="00F32760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, </w:t>
      </w:r>
      <w:r w:rsidR="009A0FA6">
        <w:rPr>
          <w:rFonts w:ascii="Times New Roman" w:eastAsia="Yu Mincho" w:hAnsi="Times New Roman"/>
          <w:kern w:val="0"/>
          <w:sz w:val="24"/>
          <w:szCs w:val="22"/>
          <w:lang w:eastAsia="ja-JP"/>
        </w:rPr>
        <w:t>69</w:t>
      </w:r>
      <w:r w:rsidR="00F32760" w:rsidRPr="00F32760">
        <w:rPr>
          <w:rFonts w:ascii="Times New Roman" w:eastAsia="Yu Mincho" w:hAnsi="Times New Roman"/>
          <w:kern w:val="0"/>
          <w:sz w:val="24"/>
          <w:szCs w:val="22"/>
          <w:lang w:eastAsia="ja-JP"/>
        </w:rPr>
        <w:t>-</w:t>
      </w:r>
      <w:r w:rsidR="009A0FA6">
        <w:rPr>
          <w:rFonts w:ascii="Times New Roman" w:eastAsia="Yu Mincho" w:hAnsi="Times New Roman"/>
          <w:kern w:val="0"/>
          <w:sz w:val="24"/>
          <w:szCs w:val="22"/>
          <w:lang w:eastAsia="ja-JP"/>
        </w:rPr>
        <w:t>86, 94-114</w:t>
      </w:r>
      <w:r w:rsidR="00FB166F" w:rsidRPr="00902C00">
        <w:rPr>
          <w:rFonts w:ascii="Times New Roman" w:eastAsia="Yu Mincho" w:hAnsi="Times New Roman"/>
          <w:kern w:val="0"/>
          <w:sz w:val="24"/>
          <w:szCs w:val="22"/>
          <w:lang w:eastAsia="ja-JP"/>
        </w:rPr>
        <w:t>)</w:t>
      </w:r>
      <w:r w:rsidR="00FB166F" w:rsidRPr="00902C00">
        <w:rPr>
          <w:rFonts w:ascii="Times New Roman" w:eastAsia="Yu Mincho" w:hAnsi="Times New Roman"/>
          <w:kern w:val="0"/>
          <w:sz w:val="24"/>
          <w:szCs w:val="22"/>
          <w:lang w:eastAsia="ja-JP"/>
        </w:rPr>
        <w:br/>
      </w:r>
      <w:r w:rsidR="00FB166F" w:rsidRPr="00FB166F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Tillgänglig genom: </w:t>
      </w:r>
      <w:hyperlink r:id="rId13" w:history="1">
        <w:r w:rsidR="00E41CBD" w:rsidRPr="003D217E">
          <w:rPr>
            <w:rStyle w:val="Hyperlnk"/>
            <w:rFonts w:ascii="Times New Roman" w:eastAsia="Yu Mincho" w:hAnsi="Times New Roman"/>
            <w:kern w:val="0"/>
            <w:sz w:val="24"/>
            <w:szCs w:val="22"/>
            <w:lang w:eastAsia="ja-JP"/>
          </w:rPr>
          <w:t>http://www.diva-portal.org/smash/get/diva2:1523899/FULLTEXT01.pdf</w:t>
        </w:r>
      </w:hyperlink>
    </w:p>
    <w:p w14:paraId="20A8C95A" w14:textId="6F21FF15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Pandey, Gyanendra</w:t>
      </w:r>
      <w:r w:rsid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(2001),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Remembering Partition: Violence, Nationalism and History in India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 Cambridge: Cambridge University Press</w:t>
      </w:r>
      <w:r w:rsid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. ISBN </w:t>
      </w:r>
      <w:r w:rsidR="00AE1FA3" w:rsidRP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9780521002509</w:t>
      </w:r>
      <w:r w:rsid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</w:t>
      </w:r>
      <w:r w:rsidR="00F3276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s. </w:t>
      </w:r>
      <w:r w:rsidR="00F32760" w:rsidRPr="00F3276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1-20, 45-120, 152-174, 188-205</w:t>
      </w:r>
      <w:r w:rsid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</w:p>
    <w:p w14:paraId="06414177" w14:textId="7D84523E" w:rsidR="00205D40" w:rsidRDefault="00205D40" w:rsidP="00AE1FA3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Parker, B. A.</w:t>
      </w:r>
      <w:r w:rsid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(2018),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“The Miseducation of Castlemont High.” </w:t>
      </w:r>
      <w:r w:rsid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  <w:t xml:space="preserve">Ingår i: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This American Life</w:t>
      </w:r>
      <w:r w:rsidR="00AE1FA3">
        <w:rPr>
          <w:rFonts w:ascii="Times New Roman" w:eastAsia="Yu Mincho" w:hAnsi="Times New Roman"/>
          <w:iCs/>
          <w:kern w:val="0"/>
          <w:sz w:val="24"/>
          <w:szCs w:val="22"/>
          <w:lang w:val="en-US" w:eastAsia="ja-JP"/>
        </w:rPr>
        <w:t>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podcast </w:t>
      </w:r>
      <w:r w:rsid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avsnitt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644, “Random Acts of History.” </w:t>
      </w:r>
      <w:r w:rsid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</w:r>
      <w:r w:rsidR="00AE1FA3" w:rsidRPr="00AE1FA3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Tillgänglig genom: </w:t>
      </w:r>
      <w:hyperlink r:id="rId14" w:history="1">
        <w:r w:rsidR="00E41CBD" w:rsidRPr="003D217E">
          <w:rPr>
            <w:rStyle w:val="Hyperlnk"/>
            <w:rFonts w:ascii="Times New Roman" w:eastAsia="Yu Mincho" w:hAnsi="Times New Roman"/>
            <w:kern w:val="0"/>
            <w:sz w:val="24"/>
            <w:szCs w:val="22"/>
            <w:lang w:eastAsia="ja-JP"/>
          </w:rPr>
          <w:t>https://www.thisamericanlife.org/644/random-acts-of-history</w:t>
        </w:r>
      </w:hyperlink>
    </w:p>
    <w:p w14:paraId="10791573" w14:textId="0B0BE28C" w:rsidR="00205D40" w:rsidRDefault="00205D40" w:rsidP="00AE1FA3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“Regeringen gör historien till ideologiskt slagfält” (“Historieuppropet”). </w:t>
      </w:r>
      <w:r w:rsidR="00AE1FA3">
        <w:rPr>
          <w:rFonts w:ascii="Times New Roman" w:eastAsia="Yu Mincho" w:hAnsi="Times New Roman"/>
          <w:kern w:val="0"/>
          <w:sz w:val="24"/>
          <w:szCs w:val="22"/>
          <w:lang w:eastAsia="ja-JP"/>
        </w:rPr>
        <w:br/>
        <w:t xml:space="preserve">Ingår i: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eastAsia="ja-JP"/>
        </w:rPr>
        <w:t>Dagens Nyheter</w:t>
      </w:r>
      <w:r w:rsidRPr="00205D40">
        <w:rPr>
          <w:rFonts w:ascii="Times New Roman" w:eastAsia="Yu Mincho" w:hAnsi="Times New Roman"/>
          <w:kern w:val="0"/>
          <w:sz w:val="24"/>
          <w:szCs w:val="22"/>
          <w:lang w:eastAsia="ja-JP"/>
        </w:rPr>
        <w:t>, 1 april 2008</w:t>
      </w:r>
      <w:r w:rsidR="00AE1FA3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 (2 s.)</w:t>
      </w:r>
      <w:r w:rsidR="00AE1FA3">
        <w:rPr>
          <w:rFonts w:ascii="Times New Roman" w:eastAsia="Yu Mincho" w:hAnsi="Times New Roman"/>
          <w:kern w:val="0"/>
          <w:sz w:val="24"/>
          <w:szCs w:val="22"/>
          <w:lang w:eastAsia="ja-JP"/>
        </w:rPr>
        <w:br/>
        <w:t xml:space="preserve">Tillgänglig genom: </w:t>
      </w:r>
      <w:hyperlink r:id="rId15" w:history="1">
        <w:r w:rsidR="00E41CBD" w:rsidRPr="003D217E">
          <w:rPr>
            <w:rStyle w:val="Hyperlnk"/>
            <w:rFonts w:ascii="Times New Roman" w:eastAsia="Yu Mincho" w:hAnsi="Times New Roman"/>
            <w:kern w:val="0"/>
            <w:sz w:val="24"/>
            <w:szCs w:val="22"/>
            <w:lang w:eastAsia="ja-JP"/>
          </w:rPr>
          <w:t>https://www.dn.se/arkiv/debatt/regeringen-gor-historia-till-ideologiskt-slagfalt/</w:t>
        </w:r>
      </w:hyperlink>
    </w:p>
    <w:p w14:paraId="672506B6" w14:textId="0BDE0C38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Rothberg, Michael</w:t>
      </w:r>
      <w:r w:rsid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(2009),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Multidirectional Memory: Remembering the Holocaust in the Age of Decolonization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. Stanford: Stanford University Press</w:t>
      </w:r>
      <w:r w:rsid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. IBSN </w:t>
      </w:r>
      <w:r w:rsidR="00E4565F" w:rsidRP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9780804762182 </w:t>
      </w:r>
      <w:r w:rsid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s. 1-134</w:t>
      </w:r>
      <w:r w:rsidR="00AE1FA3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</w:p>
    <w:p w14:paraId="127F6423" w14:textId="30432A11" w:rsidR="00205D40" w:rsidRPr="00205D40" w:rsidRDefault="00205D40" w:rsidP="00E4565F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Selling, Jan (2011)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“Between History and Politics: 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T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he Swedish Living History Project as Discursive Formation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”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  <w:t xml:space="preserve">Ingår i: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Scandinavian Journal of History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2011, vol.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36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no.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5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DOI </w:t>
      </w:r>
      <w:r w:rsidR="00E4565F" w:rsidRP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10.1080/03468755.2011.625774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(s.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555-569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</w:p>
    <w:p w14:paraId="3C315B65" w14:textId="3817D0E8" w:rsidR="00205D40" w:rsidRPr="00205D40" w:rsidRDefault="00205D40" w:rsidP="00205D40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Varga, Aniko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“National Bodies: The ‘Comfort Women’ Discourse and its Controversies in South Korea” 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  <w:t xml:space="preserve">Ingår i: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Studies in Ethnicity and Nationalism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2009, vol.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9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no.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2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DOI </w:t>
      </w:r>
      <w:r w:rsidR="00F25EF7" w:rsidRPr="00F25EF7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10.1111/j.1754-9469.</w:t>
      </w:r>
      <w:proofErr w:type="gramStart"/>
      <w:r w:rsidR="00F25EF7" w:rsidRPr="00F25EF7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2009.01054.x</w:t>
      </w:r>
      <w:proofErr w:type="gramEnd"/>
      <w:r w:rsidR="00F25EF7" w:rsidRPr="00F25EF7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(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s. 287-298</w:t>
      </w:r>
      <w:r w:rsidR="00E4565F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)</w:t>
      </w:r>
    </w:p>
    <w:p w14:paraId="4C8C12DF" w14:textId="57AD464B" w:rsidR="00205D40" w:rsidRDefault="00205D40" w:rsidP="00F25EF7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kern w:val="0"/>
          <w:sz w:val="24"/>
          <w:szCs w:val="22"/>
          <w:lang w:eastAsia="ja-JP"/>
        </w:rPr>
      </w:pP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Younge, Gary</w:t>
      </w:r>
      <w:r w:rsidR="00F25EF7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, 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“Why Every Single Statue Should Come Down.” </w:t>
      </w:r>
      <w:r w:rsidR="00F25EF7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</w:r>
      <w:r w:rsidR="00F25EF7" w:rsidRPr="00F25EF7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Ingår i: </w:t>
      </w:r>
      <w:r w:rsidRPr="00205D40">
        <w:rPr>
          <w:rFonts w:ascii="Times New Roman" w:eastAsia="Yu Mincho" w:hAnsi="Times New Roman"/>
          <w:i/>
          <w:kern w:val="0"/>
          <w:sz w:val="24"/>
          <w:szCs w:val="22"/>
          <w:lang w:val="en-US" w:eastAsia="ja-JP"/>
        </w:rPr>
        <w:t>The Guardian</w:t>
      </w:r>
      <w:r w:rsidRPr="00205D40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>, 1 June 2021</w:t>
      </w:r>
      <w:r w:rsidR="00F25EF7" w:rsidRPr="00F25EF7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t xml:space="preserve"> (8 s.)</w:t>
      </w:r>
      <w:r w:rsidR="00F25EF7" w:rsidRPr="00F25EF7">
        <w:rPr>
          <w:rFonts w:ascii="Times New Roman" w:eastAsia="Yu Mincho" w:hAnsi="Times New Roman"/>
          <w:kern w:val="0"/>
          <w:sz w:val="24"/>
          <w:szCs w:val="22"/>
          <w:lang w:val="en-US" w:eastAsia="ja-JP"/>
        </w:rPr>
        <w:br/>
      </w:r>
      <w:r w:rsidR="00F25EF7" w:rsidRPr="00F25EF7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Tillgänglig </w:t>
      </w:r>
      <w:r w:rsidR="00F25EF7">
        <w:rPr>
          <w:rFonts w:ascii="Times New Roman" w:eastAsia="Yu Mincho" w:hAnsi="Times New Roman"/>
          <w:kern w:val="0"/>
          <w:sz w:val="24"/>
          <w:szCs w:val="22"/>
          <w:lang w:eastAsia="ja-JP"/>
        </w:rPr>
        <w:t xml:space="preserve">genom: </w:t>
      </w:r>
      <w:hyperlink r:id="rId16" w:history="1">
        <w:r w:rsidR="00E41CBD" w:rsidRPr="003D217E">
          <w:rPr>
            <w:rStyle w:val="Hyperlnk"/>
            <w:rFonts w:ascii="Times New Roman" w:eastAsia="Yu Mincho" w:hAnsi="Times New Roman"/>
            <w:kern w:val="0"/>
            <w:sz w:val="24"/>
            <w:szCs w:val="22"/>
            <w:lang w:eastAsia="ja-JP"/>
          </w:rPr>
          <w:t>https://www.theguardian.com/artanddesign/2021/jun/01/gary-younge-why-every-single-statue-should-come-down-rhodes-colston?fbclid=IwAR2TtRJmLQ_g6hD4o3815hLNjk02Mrhm2R4a88cwCcEwzBMjl7rl7YXNC7o</w:t>
        </w:r>
      </w:hyperlink>
    </w:p>
    <w:p w14:paraId="28CA2A82" w14:textId="77777777" w:rsidR="00E41CBD" w:rsidRDefault="00E41CBD" w:rsidP="00FB166F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b/>
          <w:bCs/>
          <w:kern w:val="0"/>
          <w:sz w:val="24"/>
          <w:szCs w:val="22"/>
          <w:lang w:eastAsia="ja-JP"/>
        </w:rPr>
      </w:pPr>
    </w:p>
    <w:p w14:paraId="7884CE53" w14:textId="30751033" w:rsidR="00FB166F" w:rsidRPr="004026B9" w:rsidRDefault="00F25EF7" w:rsidP="00FB166F">
      <w:pPr>
        <w:widowControl/>
        <w:suppressAutoHyphens w:val="0"/>
        <w:autoSpaceDN/>
        <w:spacing w:after="160" w:line="259" w:lineRule="auto"/>
        <w:ind w:left="720" w:hanging="720"/>
        <w:textAlignment w:val="auto"/>
        <w:rPr>
          <w:rFonts w:ascii="Times New Roman" w:eastAsia="Yu Mincho" w:hAnsi="Times New Roman"/>
          <w:b/>
          <w:bCs/>
          <w:kern w:val="0"/>
          <w:sz w:val="24"/>
          <w:szCs w:val="22"/>
          <w:lang w:eastAsia="ja-JP"/>
        </w:rPr>
      </w:pPr>
      <w:r w:rsidRPr="004026B9">
        <w:rPr>
          <w:rFonts w:ascii="Times New Roman" w:eastAsia="Yu Mincho" w:hAnsi="Times New Roman"/>
          <w:b/>
          <w:bCs/>
          <w:kern w:val="0"/>
          <w:sz w:val="24"/>
          <w:szCs w:val="22"/>
          <w:lang w:eastAsia="ja-JP"/>
        </w:rPr>
        <w:t>Sammanlagt antal sidor (obligatorisk litteratur)</w:t>
      </w:r>
      <w:r w:rsidR="00205D40" w:rsidRPr="00205D40">
        <w:rPr>
          <w:rFonts w:ascii="Times New Roman" w:eastAsia="Yu Mincho" w:hAnsi="Times New Roman"/>
          <w:b/>
          <w:bCs/>
          <w:kern w:val="0"/>
          <w:sz w:val="24"/>
          <w:szCs w:val="22"/>
          <w:lang w:eastAsia="ja-JP"/>
        </w:rPr>
        <w:t xml:space="preserve">: </w:t>
      </w:r>
      <w:r w:rsidR="00687A68" w:rsidRPr="00205D40">
        <w:rPr>
          <w:rFonts w:ascii="Times New Roman" w:eastAsia="Yu Mincho" w:hAnsi="Times New Roman"/>
          <w:b/>
          <w:bCs/>
          <w:kern w:val="0"/>
          <w:sz w:val="24"/>
          <w:szCs w:val="22"/>
          <w:lang w:eastAsia="ja-JP"/>
        </w:rPr>
        <w:t>10</w:t>
      </w:r>
      <w:r w:rsidR="00687A68">
        <w:rPr>
          <w:rFonts w:ascii="Times New Roman" w:eastAsia="Yu Mincho" w:hAnsi="Times New Roman"/>
          <w:b/>
          <w:bCs/>
          <w:kern w:val="0"/>
          <w:sz w:val="24"/>
          <w:szCs w:val="22"/>
          <w:lang w:eastAsia="ja-JP"/>
        </w:rPr>
        <w:t>23</w:t>
      </w:r>
      <w:r w:rsidR="00687A68" w:rsidRPr="00205D40">
        <w:rPr>
          <w:rFonts w:ascii="Times New Roman" w:eastAsia="Yu Mincho" w:hAnsi="Times New Roman"/>
          <w:b/>
          <w:bCs/>
          <w:kern w:val="0"/>
          <w:sz w:val="24"/>
          <w:szCs w:val="22"/>
          <w:lang w:eastAsia="ja-JP"/>
        </w:rPr>
        <w:t xml:space="preserve"> </w:t>
      </w:r>
      <w:r w:rsidR="00205D40" w:rsidRPr="00205D40">
        <w:rPr>
          <w:rFonts w:ascii="Times New Roman" w:eastAsia="Yu Mincho" w:hAnsi="Times New Roman"/>
          <w:b/>
          <w:bCs/>
          <w:kern w:val="0"/>
          <w:sz w:val="24"/>
          <w:szCs w:val="22"/>
          <w:lang w:eastAsia="ja-JP"/>
        </w:rPr>
        <w:t>s</w:t>
      </w:r>
      <w:r w:rsidRPr="004026B9">
        <w:rPr>
          <w:rFonts w:ascii="Times New Roman" w:eastAsia="Yu Mincho" w:hAnsi="Times New Roman"/>
          <w:b/>
          <w:bCs/>
          <w:kern w:val="0"/>
          <w:sz w:val="24"/>
          <w:szCs w:val="22"/>
          <w:lang w:eastAsia="ja-JP"/>
        </w:rPr>
        <w:t>.</w:t>
      </w:r>
    </w:p>
    <w:p w14:paraId="11514305" w14:textId="472A8511" w:rsidR="008775D2" w:rsidRPr="00F25EF7" w:rsidRDefault="008775D2">
      <w:pPr>
        <w:pStyle w:val="Textbody"/>
        <w:rPr>
          <w:lang w:val="sv-SE"/>
        </w:rPr>
      </w:pPr>
    </w:p>
    <w:sectPr w:rsidR="008775D2" w:rsidRPr="00F25EF7">
      <w:type w:val="continuous"/>
      <w:pgSz w:w="11906" w:h="16838"/>
      <w:pgMar w:top="1417" w:right="1134" w:bottom="1134" w:left="1134" w:header="1134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6403" w14:textId="77777777" w:rsidR="00AA1E27" w:rsidRDefault="00AA1E27">
      <w:r>
        <w:separator/>
      </w:r>
    </w:p>
  </w:endnote>
  <w:endnote w:type="continuationSeparator" w:id="0">
    <w:p w14:paraId="3155E6CC" w14:textId="77777777" w:rsidR="00AA1E27" w:rsidRDefault="00AA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AGaramond">
    <w:altName w:val="Adobe Garamond Pro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 Frutiger Light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C6F1" w14:textId="77777777" w:rsidR="00AA1E27" w:rsidRDefault="00AA1E27">
      <w:r>
        <w:rPr>
          <w:color w:val="000000"/>
        </w:rPr>
        <w:separator/>
      </w:r>
    </w:p>
  </w:footnote>
  <w:footnote w:type="continuationSeparator" w:id="0">
    <w:p w14:paraId="4357C756" w14:textId="77777777" w:rsidR="00AA1E27" w:rsidRDefault="00AA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5B9"/>
    <w:multiLevelType w:val="multilevel"/>
    <w:tmpl w:val="8FE4A5AE"/>
    <w:styleLink w:val="WWNum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047592"/>
    <w:multiLevelType w:val="multilevel"/>
    <w:tmpl w:val="78FE4242"/>
    <w:styleLink w:val="WWNum1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0547AA"/>
    <w:multiLevelType w:val="multilevel"/>
    <w:tmpl w:val="1E4E0132"/>
    <w:styleLink w:val="WWNum2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582864"/>
    <w:multiLevelType w:val="multilevel"/>
    <w:tmpl w:val="5796A4C4"/>
    <w:styleLink w:val="WWNum3"/>
    <w:lvl w:ilvl="0">
      <w:numFmt w:val="bullet"/>
      <w:lvlText w:val="•"/>
      <w:lvlJc w:val="left"/>
      <w:pPr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E85CD6"/>
    <w:multiLevelType w:val="multilevel"/>
    <w:tmpl w:val="AD3688F4"/>
    <w:styleLink w:val="WWNum9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444385"/>
    <w:multiLevelType w:val="multilevel"/>
    <w:tmpl w:val="F2AEB55E"/>
    <w:styleLink w:val="WWNum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76F3E78"/>
    <w:multiLevelType w:val="multilevel"/>
    <w:tmpl w:val="9BB0406A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7B76A36"/>
    <w:multiLevelType w:val="multilevel"/>
    <w:tmpl w:val="DE3EA33C"/>
    <w:styleLink w:val="WWNum4"/>
    <w:lvl w:ilvl="0">
      <w:numFmt w:val="bullet"/>
      <w:lvlText w:val="•"/>
      <w:lvlJc w:val="left"/>
      <w:pPr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E124CE3"/>
    <w:multiLevelType w:val="multilevel"/>
    <w:tmpl w:val="C690F9B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2D20546"/>
    <w:multiLevelType w:val="multilevel"/>
    <w:tmpl w:val="FDB6F8F6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45245D"/>
    <w:multiLevelType w:val="multilevel"/>
    <w:tmpl w:val="970AE9D2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5E576E17"/>
    <w:multiLevelType w:val="multilevel"/>
    <w:tmpl w:val="4F3AE55E"/>
    <w:styleLink w:val="WWNum6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71565125">
    <w:abstractNumId w:val="1"/>
  </w:num>
  <w:num w:numId="2" w16cid:durableId="822281383">
    <w:abstractNumId w:val="2"/>
  </w:num>
  <w:num w:numId="3" w16cid:durableId="901260335">
    <w:abstractNumId w:val="3"/>
  </w:num>
  <w:num w:numId="4" w16cid:durableId="1534541560">
    <w:abstractNumId w:val="7"/>
  </w:num>
  <w:num w:numId="5" w16cid:durableId="965505366">
    <w:abstractNumId w:val="9"/>
  </w:num>
  <w:num w:numId="6" w16cid:durableId="1471557694">
    <w:abstractNumId w:val="11"/>
  </w:num>
  <w:num w:numId="7" w16cid:durableId="2038191859">
    <w:abstractNumId w:val="0"/>
  </w:num>
  <w:num w:numId="8" w16cid:durableId="1867673038">
    <w:abstractNumId w:val="5"/>
  </w:num>
  <w:num w:numId="9" w16cid:durableId="1445542791">
    <w:abstractNumId w:val="4"/>
  </w:num>
  <w:num w:numId="10" w16cid:durableId="180315333">
    <w:abstractNumId w:val="6"/>
  </w:num>
  <w:num w:numId="11" w16cid:durableId="975523350">
    <w:abstractNumId w:val="10"/>
  </w:num>
  <w:num w:numId="12" w16cid:durableId="518467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130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D2"/>
    <w:rsid w:val="00074A57"/>
    <w:rsid w:val="000A3B90"/>
    <w:rsid w:val="001B3ADC"/>
    <w:rsid w:val="001E7775"/>
    <w:rsid w:val="00205D40"/>
    <w:rsid w:val="002721DF"/>
    <w:rsid w:val="004026B9"/>
    <w:rsid w:val="00550D85"/>
    <w:rsid w:val="00553F69"/>
    <w:rsid w:val="00687A68"/>
    <w:rsid w:val="0072630D"/>
    <w:rsid w:val="0075799F"/>
    <w:rsid w:val="007E6A61"/>
    <w:rsid w:val="007F7BCF"/>
    <w:rsid w:val="008775D2"/>
    <w:rsid w:val="00902C00"/>
    <w:rsid w:val="009A0FA6"/>
    <w:rsid w:val="00AA1E27"/>
    <w:rsid w:val="00AE1FA3"/>
    <w:rsid w:val="00B45BBA"/>
    <w:rsid w:val="00C22667"/>
    <w:rsid w:val="00C2770D"/>
    <w:rsid w:val="00CC093E"/>
    <w:rsid w:val="00D40365"/>
    <w:rsid w:val="00D62C69"/>
    <w:rsid w:val="00DE5C70"/>
    <w:rsid w:val="00E21612"/>
    <w:rsid w:val="00E41CBD"/>
    <w:rsid w:val="00E4565F"/>
    <w:rsid w:val="00F25EF7"/>
    <w:rsid w:val="00F32760"/>
    <w:rsid w:val="00F66A02"/>
    <w:rsid w:val="00F80850"/>
    <w:rsid w:val="00FB166F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8BC2"/>
  <w15:docId w15:val="{875CC8D1-622E-4567-AAAB-9152EC23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kern w:val="3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Textbody"/>
    <w:uiPriority w:val="9"/>
    <w:qFormat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Standard"/>
    <w:next w:val="Textbody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="Arial" w:hAnsi="Arial" w:cs="F"/>
      <w:color w:val="000000"/>
      <w:sz w:val="28"/>
      <w:szCs w:val="26"/>
    </w:rPr>
  </w:style>
  <w:style w:type="paragraph" w:styleId="Rubrik3">
    <w:name w:val="heading 3"/>
    <w:basedOn w:val="Standard"/>
    <w:next w:val="Textbody"/>
    <w:uiPriority w:val="9"/>
    <w:semiHidden/>
    <w:unhideWhenUsed/>
    <w:qFormat/>
    <w:pPr>
      <w:keepNext/>
      <w:keepLines/>
      <w:spacing w:before="320" w:after="60" w:line="240" w:lineRule="auto"/>
      <w:outlineLvl w:val="2"/>
    </w:pPr>
    <w:rPr>
      <w:rFonts w:ascii="Arial" w:hAnsi="Arial" w:cs="F"/>
      <w:b/>
      <w:color w:val="000000"/>
      <w:sz w:val="24"/>
      <w:szCs w:val="24"/>
    </w:rPr>
  </w:style>
  <w:style w:type="paragraph" w:styleId="Rubrik4">
    <w:name w:val="heading 4"/>
    <w:basedOn w:val="Standard"/>
    <w:next w:val="Textbody"/>
    <w:uiPriority w:val="9"/>
    <w:semiHidden/>
    <w:unhideWhenUsed/>
    <w:qFormat/>
    <w:pPr>
      <w:keepNext/>
      <w:keepLines/>
      <w:spacing w:before="200" w:after="60"/>
      <w:outlineLvl w:val="3"/>
    </w:pPr>
    <w:rPr>
      <w:rFonts w:ascii="Times New Roman" w:hAnsi="Times New Roman" w:cs="F"/>
      <w:b/>
      <w:i/>
      <w:iCs/>
      <w:color w:val="000000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60" w:lineRule="atLeast"/>
    </w:pPr>
    <w:rPr>
      <w:rFonts w:ascii="AGaramond" w:hAnsi="AGaramond"/>
      <w:sz w:val="22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</w:pPr>
    <w:rPr>
      <w:rFonts w:ascii="Times New Roman" w:hAnsi="Times New Roman"/>
      <w:sz w:val="26"/>
    </w:rPr>
  </w:style>
  <w:style w:type="paragraph" w:styleId="Lista">
    <w:name w:val="List"/>
    <w:basedOn w:val="Textbody"/>
    <w:rPr>
      <w:rFonts w:ascii="Cambria" w:hAnsi="Cambri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ascii="Cambria" w:hAnsi="Cambri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mbria" w:hAnsi="Cambria"/>
    </w:rPr>
  </w:style>
  <w:style w:type="paragraph" w:styleId="Sidfot">
    <w:name w:val="footer"/>
    <w:basedOn w:val="Standard"/>
    <w:pPr>
      <w:suppressLineNumbers/>
      <w:tabs>
        <w:tab w:val="center" w:pos="3685"/>
        <w:tab w:val="right" w:pos="8504"/>
      </w:tabs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Standard"/>
    <w:pPr>
      <w:suppressLineNumbers/>
      <w:tabs>
        <w:tab w:val="right" w:pos="778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Standard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pPr>
      <w:spacing w:after="120" w:line="240" w:lineRule="auto"/>
    </w:pPr>
    <w:rPr>
      <w:sz w:val="8"/>
    </w:rPr>
  </w:style>
  <w:style w:type="paragraph" w:customStyle="1" w:styleId="sigill">
    <w:name w:val="sigill"/>
    <w:basedOn w:val="Standard"/>
    <w:pPr>
      <w:spacing w:after="280"/>
    </w:pPr>
    <w:rPr>
      <w:rFonts w:ascii="New York" w:hAnsi="New York"/>
      <w:sz w:val="24"/>
    </w:rPr>
  </w:style>
  <w:style w:type="paragraph" w:customStyle="1" w:styleId="rubrik">
    <w:name w:val="rubrik"/>
    <w:basedOn w:val="Rubrik1"/>
    <w:rPr>
      <w:rFonts w:ascii="L Frutiger Light" w:hAnsi="L Frutiger Light"/>
      <w:sz w:val="24"/>
    </w:rPr>
  </w:style>
  <w:style w:type="paragraph" w:customStyle="1" w:styleId="sidnr">
    <w:name w:val="sidnr"/>
    <w:basedOn w:val="Standard"/>
    <w:pPr>
      <w:jc w:val="right"/>
    </w:pPr>
  </w:style>
  <w:style w:type="paragraph" w:styleId="Ballong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Citat">
    <w:name w:val="Quote"/>
    <w:basedOn w:val="Standard"/>
    <w:pPr>
      <w:spacing w:before="360" w:after="360" w:line="240" w:lineRule="auto"/>
      <w:ind w:left="1134" w:right="567"/>
    </w:pPr>
    <w:rPr>
      <w:rFonts w:ascii="Times New Roman" w:hAnsi="Times New Roman"/>
      <w:iCs/>
      <w:color w:val="404040"/>
      <w:sz w:val="20"/>
    </w:rPr>
  </w:style>
  <w:style w:type="paragraph" w:customStyle="1" w:styleId="Ingress">
    <w:name w:val="Ingress"/>
    <w:basedOn w:val="Textbody"/>
    <w:pPr>
      <w:spacing w:before="60" w:after="240" w:line="320" w:lineRule="atLeast"/>
    </w:pPr>
    <w:rPr>
      <w:sz w:val="28"/>
    </w:rPr>
  </w:style>
  <w:style w:type="paragraph" w:styleId="Normalwebb">
    <w:name w:val="Normal (Web)"/>
    <w:basedOn w:val="Standard"/>
    <w:pPr>
      <w:spacing w:before="100" w:after="100" w:line="240" w:lineRule="auto"/>
    </w:pPr>
    <w:rPr>
      <w:rFonts w:ascii="Times New Roman" w:hAnsi="Times New Roman"/>
      <w:sz w:val="24"/>
      <w:szCs w:val="24"/>
      <w:lang w:val="sv-SE"/>
    </w:rPr>
  </w:style>
  <w:style w:type="paragraph" w:customStyle="1" w:styleId="Brdtextfljande">
    <w:name w:val="Brödtext följande"/>
    <w:basedOn w:val="Textbody"/>
    <w:pPr>
      <w:ind w:firstLine="284"/>
    </w:pPr>
    <w:rPr>
      <w:lang w:val="sv-SE"/>
    </w:rPr>
  </w:style>
  <w:style w:type="paragraph" w:styleId="Punktlista">
    <w:name w:val="List Bullet"/>
    <w:basedOn w:val="Textbody"/>
    <w:rPr>
      <w:lang w:val="sv-SE"/>
    </w:rPr>
  </w:style>
  <w:style w:type="paragraph" w:customStyle="1" w:styleId="ContentsHeading">
    <w:name w:val="Contents Heading"/>
    <w:basedOn w:val="Rubrik1"/>
    <w:pPr>
      <w:keepLines/>
      <w:suppressLineNumbers/>
      <w:spacing w:before="480" w:after="0" w:line="276" w:lineRule="auto"/>
    </w:pPr>
    <w:rPr>
      <w:rFonts w:ascii="Calibri" w:hAnsi="Calibri" w:cs="F"/>
      <w:bCs/>
      <w:color w:val="365F91"/>
      <w:sz w:val="28"/>
      <w:szCs w:val="28"/>
      <w:lang w:val="sv-SE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240" w:after="120"/>
    </w:pPr>
    <w:rPr>
      <w:rFonts w:ascii="Cambria" w:hAnsi="Cambria"/>
      <w:b/>
      <w:bCs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before="120"/>
      <w:ind w:left="220"/>
    </w:pPr>
    <w:rPr>
      <w:rFonts w:ascii="Cambria" w:hAnsi="Cambria"/>
      <w:i/>
      <w:iCs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ind w:left="440"/>
    </w:pPr>
    <w:rPr>
      <w:rFonts w:ascii="Cambria" w:hAnsi="Cambria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ind w:left="660"/>
    </w:pPr>
    <w:rPr>
      <w:rFonts w:ascii="Cambria" w:hAnsi="Cambria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ind w:left="880"/>
    </w:pPr>
    <w:rPr>
      <w:rFonts w:ascii="Cambria" w:hAnsi="Cambria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ind w:left="1100"/>
    </w:pPr>
    <w:rPr>
      <w:rFonts w:ascii="Cambria" w:hAnsi="Cambria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ind w:left="1320"/>
    </w:pPr>
    <w:rPr>
      <w:rFonts w:ascii="Cambria" w:hAnsi="Cambria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ind w:left="1540"/>
    </w:pPr>
    <w:rPr>
      <w:rFonts w:ascii="Cambria" w:hAnsi="Cambria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ind w:left="1760"/>
    </w:pPr>
    <w:rPr>
      <w:rFonts w:ascii="Cambria" w:hAnsi="Cambria"/>
      <w:sz w:val="20"/>
    </w:rPr>
  </w:style>
  <w:style w:type="paragraph" w:styleId="Fotnotstext">
    <w:name w:val="footnote text"/>
    <w:basedOn w:val="Standard"/>
    <w:pPr>
      <w:spacing w:before="80" w:line="240" w:lineRule="auto"/>
    </w:pPr>
    <w:rPr>
      <w:rFonts w:ascii="Times New Roman" w:hAnsi="Times New Roman"/>
    </w:r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rPr>
      <w:rFonts w:ascii="Arial" w:hAnsi="Arial" w:cs="F"/>
      <w:color w:val="000000"/>
      <w:sz w:val="28"/>
      <w:szCs w:val="26"/>
      <w:lang w:val="en-US"/>
    </w:rPr>
  </w:style>
  <w:style w:type="character" w:customStyle="1" w:styleId="Rubrik3Char">
    <w:name w:val="Rubrik 3 Char"/>
    <w:basedOn w:val="Standardstycketeckensnitt"/>
    <w:rPr>
      <w:rFonts w:ascii="Arial" w:hAnsi="Arial" w:cs="F"/>
      <w:b/>
      <w:color w:val="000000"/>
      <w:sz w:val="24"/>
      <w:szCs w:val="24"/>
      <w:lang w:val="en-US"/>
    </w:rPr>
  </w:style>
  <w:style w:type="character" w:customStyle="1" w:styleId="Rubrik4Char">
    <w:name w:val="Rubrik 4 Char"/>
    <w:basedOn w:val="Standardstycketeckensnitt"/>
    <w:rPr>
      <w:rFonts w:ascii="Times New Roman" w:hAnsi="Times New Roman" w:cs="F"/>
      <w:b/>
      <w:i/>
      <w:iCs/>
      <w:color w:val="000000"/>
      <w:sz w:val="26"/>
      <w:lang w:val="en-US"/>
    </w:rPr>
  </w:style>
  <w:style w:type="character" w:customStyle="1" w:styleId="CitatChar">
    <w:name w:val="Citat Char"/>
    <w:basedOn w:val="Standardstycketeckensnitt"/>
    <w:rPr>
      <w:rFonts w:ascii="Times New Roman" w:hAnsi="Times New Roman"/>
      <w:iCs/>
      <w:color w:val="404040"/>
      <w:lang w:val="en-US"/>
    </w:rPr>
  </w:style>
  <w:style w:type="character" w:customStyle="1" w:styleId="SidhuvudChar">
    <w:name w:val="Sidhuvud Char"/>
    <w:basedOn w:val="Standardstycketeckensnitt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rPr>
      <w:rFonts w:ascii="Arial" w:hAnsi="Arial" w:cs="Arial"/>
      <w:lang w:val="en-US"/>
    </w:rPr>
  </w:style>
  <w:style w:type="character" w:styleId="Sidnummer">
    <w:name w:val="page number"/>
    <w:basedOn w:val="Standardstycketeckensnitt"/>
  </w:style>
  <w:style w:type="character" w:customStyle="1" w:styleId="FotnotstextChar">
    <w:name w:val="Fotnotstext Char"/>
    <w:basedOn w:val="Standardstycketeckensnitt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rPr>
      <w:rFonts w:ascii="Arial" w:hAnsi="Arial"/>
      <w:position w:val="0"/>
      <w:vertAlign w:val="superscript"/>
    </w:rPr>
  </w:style>
  <w:style w:type="character" w:styleId="Olstomnmnande">
    <w:name w:val="Unresolved Mention"/>
    <w:basedOn w:val="Standardstycketeckensnitt"/>
    <w:rPr>
      <w:color w:val="605E5C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numbering" w:customStyle="1" w:styleId="WWNum6">
    <w:name w:val="WWNum6"/>
    <w:basedOn w:val="Ingenlista"/>
    <w:pPr>
      <w:numPr>
        <w:numId w:val="6"/>
      </w:numPr>
    </w:pPr>
  </w:style>
  <w:style w:type="numbering" w:customStyle="1" w:styleId="WWNum7">
    <w:name w:val="WWNum7"/>
    <w:basedOn w:val="Ingenlista"/>
    <w:pPr>
      <w:numPr>
        <w:numId w:val="7"/>
      </w:numPr>
    </w:pPr>
  </w:style>
  <w:style w:type="numbering" w:customStyle="1" w:styleId="WWNum8">
    <w:name w:val="WWNum8"/>
    <w:basedOn w:val="Ingenlista"/>
    <w:pPr>
      <w:numPr>
        <w:numId w:val="8"/>
      </w:numPr>
    </w:pPr>
  </w:style>
  <w:style w:type="numbering" w:customStyle="1" w:styleId="WWNum9">
    <w:name w:val="WWNum9"/>
    <w:basedOn w:val="Ingenlista"/>
    <w:pPr>
      <w:numPr>
        <w:numId w:val="9"/>
      </w:numPr>
    </w:pPr>
  </w:style>
  <w:style w:type="numbering" w:customStyle="1" w:styleId="WWNum10">
    <w:name w:val="WWNum10"/>
    <w:basedOn w:val="Ingenlista"/>
    <w:pPr>
      <w:numPr>
        <w:numId w:val="10"/>
      </w:numPr>
    </w:pPr>
  </w:style>
  <w:style w:type="numbering" w:customStyle="1" w:styleId="WWNum11">
    <w:name w:val="WWNum11"/>
    <w:basedOn w:val="Ingenlista"/>
    <w:pPr>
      <w:numPr>
        <w:numId w:val="11"/>
      </w:numPr>
    </w:pPr>
  </w:style>
  <w:style w:type="numbering" w:customStyle="1" w:styleId="WWNum12">
    <w:name w:val="WWNum12"/>
    <w:basedOn w:val="Ingenlista"/>
    <w:pPr>
      <w:numPr>
        <w:numId w:val="12"/>
      </w:numPr>
    </w:pPr>
  </w:style>
  <w:style w:type="character" w:styleId="Hyperlnk">
    <w:name w:val="Hyperlink"/>
    <w:basedOn w:val="Standardstycketeckensnitt"/>
    <w:uiPriority w:val="99"/>
    <w:unhideWhenUsed/>
    <w:rsid w:val="00FF60B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B3ADC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ians.org/news-and-advocacy/aha-advocacy/aha-statement-on-confederate-monuments" TargetMode="External"/><Relationship Id="rId13" Type="http://schemas.openxmlformats.org/officeDocument/2006/relationships/hyperlink" Target="http://www.diva-portal.org/smash/get/diva2:1523899/FULLTEXT0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apjjf.org/2022/4/Mladenov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guardian.com/artanddesign/2021/jun/01/gary-younge-why-every-single-statue-should-come-down-rhodes-colston?fbclid=IwAR2TtRJmLQ_g6hD4o3815hLNjk02Mrhm2R4a88cwCcEwzBMjl7rl7YXNC7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storians.org/publications-and-directories/perspectives-on-history/february-2016/whose-memory-whose-monuments-history-commemoration-and-the-struggle-for-an-ethical-pa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n.se/arkiv/debatt/regeringen-gor-historia-till-ideologiskt-slagfalt/" TargetMode="External"/><Relationship Id="rId10" Type="http://schemas.openxmlformats.org/officeDocument/2006/relationships/hyperlink" Target="https://www.historians.org/publications-and-directories/perspectives-on-history/december-2010/historical-malpractice-and-the-writing-of-text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news/posteverything/wp/2017/08/17/yes-washington-and-jefferson-owned-slaves-trump-is-still-wrong-about-robert-e-lee/" TargetMode="External"/><Relationship Id="rId14" Type="http://schemas.openxmlformats.org/officeDocument/2006/relationships/hyperlink" Target="https://www.thisamericanlife.org/644/random-acts-of-histor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 User</cp:lastModifiedBy>
  <cp:revision>2</cp:revision>
  <cp:lastPrinted>2017-12-15T10:09:00Z</cp:lastPrinted>
  <dcterms:created xsi:type="dcterms:W3CDTF">2023-04-21T08:23:00Z</dcterms:created>
  <dcterms:modified xsi:type="dcterms:W3CDTF">2023-04-21T08:23:00Z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Lunds universitet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