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D0ACF" w14:textId="12A38867" w:rsidR="00051447" w:rsidRDefault="00E52072" w:rsidP="00051447">
      <w:pPr>
        <w:rPr>
          <w:b/>
        </w:rPr>
      </w:pPr>
      <w:bookmarkStart w:id="0" w:name="_GoBack"/>
      <w:bookmarkEnd w:id="0"/>
      <w:r>
        <w:rPr>
          <w:b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VT2016</w:t>
      </w:r>
    </w:p>
    <w:p w14:paraId="40F48E43" w14:textId="77777777" w:rsidR="00051447" w:rsidRDefault="00051447" w:rsidP="00051447">
      <w:pPr>
        <w:rPr>
          <w:b/>
        </w:rPr>
      </w:pPr>
      <w:r>
        <w:rPr>
          <w:b/>
        </w:rPr>
        <w:t>Språk- och litteraturcentrum</w:t>
      </w:r>
    </w:p>
    <w:p w14:paraId="01028772" w14:textId="77777777" w:rsidR="00051447" w:rsidRDefault="00051447" w:rsidP="00051447">
      <w:pPr>
        <w:rPr>
          <w:b/>
        </w:rPr>
      </w:pPr>
      <w:r>
        <w:rPr>
          <w:b/>
        </w:rPr>
        <w:t>Litteraturvetenskap</w:t>
      </w:r>
    </w:p>
    <w:p w14:paraId="5912D17E" w14:textId="77777777" w:rsidR="00051447" w:rsidRDefault="00051447" w:rsidP="00051447">
      <w:pPr>
        <w:rPr>
          <w:b/>
        </w:rPr>
      </w:pPr>
      <w:r>
        <w:rPr>
          <w:b/>
        </w:rPr>
        <w:t>LIVA04 (1-60 hp)</w:t>
      </w:r>
    </w:p>
    <w:p w14:paraId="41FBA7A4" w14:textId="77777777" w:rsidR="00051447" w:rsidRDefault="00051447" w:rsidP="00051447">
      <w:pPr>
        <w:rPr>
          <w:b/>
        </w:rPr>
      </w:pPr>
    </w:p>
    <w:p w14:paraId="6E5B0DDA" w14:textId="77777777" w:rsidR="00051447" w:rsidRDefault="00051447" w:rsidP="00051447">
      <w:pPr>
        <w:rPr>
          <w:b/>
        </w:rPr>
      </w:pPr>
    </w:p>
    <w:p w14:paraId="362F44C7" w14:textId="77777777" w:rsidR="00051447" w:rsidRDefault="00051447" w:rsidP="00051447">
      <w:pPr>
        <w:rPr>
          <w:b/>
        </w:rPr>
      </w:pPr>
      <w:r>
        <w:rPr>
          <w:b/>
        </w:rPr>
        <w:t>Delkurs 2. Litteraturhistorisk översikt från antiken till renässansen. Litteraturhistorisk översiktskurs (7,5 hp)</w:t>
      </w:r>
    </w:p>
    <w:p w14:paraId="4E6E6560" w14:textId="77777777" w:rsidR="00051447" w:rsidRDefault="00051447" w:rsidP="00051447">
      <w:pPr>
        <w:ind w:left="567" w:hanging="567"/>
        <w:jc w:val="center"/>
      </w:pPr>
    </w:p>
    <w:p w14:paraId="7C3400F8" w14:textId="77777777" w:rsidR="00051447" w:rsidRDefault="00051447" w:rsidP="00051447">
      <w:pPr>
        <w:ind w:left="567" w:hanging="567"/>
      </w:pPr>
    </w:p>
    <w:p w14:paraId="721615EA" w14:textId="77777777" w:rsidR="00051447" w:rsidRDefault="00051447" w:rsidP="00051447">
      <w:pPr>
        <w:ind w:left="567" w:hanging="567"/>
        <w:rPr>
          <w:b/>
        </w:rPr>
      </w:pPr>
      <w:r>
        <w:rPr>
          <w:b/>
        </w:rPr>
        <w:t>Litteraturlista</w:t>
      </w:r>
    </w:p>
    <w:p w14:paraId="54539A88" w14:textId="77777777" w:rsidR="00051447" w:rsidRDefault="00051447" w:rsidP="00051447">
      <w:pPr>
        <w:ind w:left="567" w:hanging="567"/>
        <w:rPr>
          <w:b/>
        </w:rPr>
      </w:pPr>
    </w:p>
    <w:p w14:paraId="265C3C3C" w14:textId="77777777" w:rsidR="00051447" w:rsidRDefault="00051447" w:rsidP="00051447">
      <w:pPr>
        <w:ind w:left="567" w:hanging="567"/>
        <w:rPr>
          <w:i/>
        </w:rPr>
      </w:pPr>
      <w:r>
        <w:rPr>
          <w:i/>
        </w:rPr>
        <w:t>Facklitteratur</w:t>
      </w:r>
    </w:p>
    <w:p w14:paraId="3B7F81B2" w14:textId="4445667C" w:rsidR="00051447" w:rsidRDefault="00051447" w:rsidP="00051447">
      <w:pPr>
        <w:ind w:left="567" w:hanging="567"/>
      </w:pPr>
      <w:r w:rsidRPr="000D1C01">
        <w:t xml:space="preserve">Adonis: </w:t>
      </w:r>
      <w:r w:rsidRPr="007B611E">
        <w:rPr>
          <w:i/>
        </w:rPr>
        <w:t>An Introduction to Arab Poetics</w:t>
      </w:r>
      <w:r>
        <w:t>,</w:t>
      </w:r>
      <w:r w:rsidR="00E52072">
        <w:t xml:space="preserve"> kapitel 1,</w:t>
      </w:r>
      <w:r>
        <w:t xml:space="preserve"> Saqi </w:t>
      </w:r>
      <w:r w:rsidR="00E52072">
        <w:t>Books, 2003 – alternativt i svensk overs</w:t>
      </w:r>
      <w:r w:rsidR="00E52072">
        <w:rPr>
          <w:lang w:val="da-DK"/>
        </w:rPr>
        <w:t>æ</w:t>
      </w:r>
      <w:r w:rsidR="00E52072">
        <w:t xml:space="preserve">ttelse. </w:t>
      </w:r>
    </w:p>
    <w:p w14:paraId="259F5079" w14:textId="0737996A" w:rsidR="00051447" w:rsidRDefault="00051447" w:rsidP="00051447">
      <w:pPr>
        <w:ind w:left="567" w:hanging="567"/>
      </w:pPr>
      <w:r>
        <w:t xml:space="preserve">Auerbach, Erich: </w:t>
      </w:r>
      <w:r>
        <w:rPr>
          <w:i/>
        </w:rPr>
        <w:t>Mimesis – Verk</w:t>
      </w:r>
      <w:r w:rsidR="00E705FC">
        <w:rPr>
          <w:i/>
        </w:rPr>
        <w:t>lighetsframställningen i den västerländska</w:t>
      </w:r>
      <w:r w:rsidRPr="009705F7">
        <w:rPr>
          <w:i/>
        </w:rPr>
        <w:t xml:space="preserve"> litterature</w:t>
      </w:r>
      <w:r w:rsidR="0046428C">
        <w:rPr>
          <w:i/>
        </w:rPr>
        <w:t xml:space="preserve">n </w:t>
      </w:r>
      <w:r>
        <w:t>[1946]. Albert Bonniers Förlag, 1999. ISBN 91-0-057075-3. (100 s).</w:t>
      </w:r>
    </w:p>
    <w:p w14:paraId="6BDEFE62" w14:textId="75EF05B3" w:rsidR="00051447" w:rsidRPr="007B611E" w:rsidRDefault="00051447" w:rsidP="00051447">
      <w:r>
        <w:t xml:space="preserve">Franzén, Carin: </w:t>
      </w:r>
      <w:r w:rsidRPr="007B611E">
        <w:rPr>
          <w:i/>
        </w:rPr>
        <w:t>Jag gav honom inte min kärlek…</w:t>
      </w:r>
      <w:r>
        <w:t>,</w:t>
      </w:r>
      <w:r w:rsidR="00E52072">
        <w:t xml:space="preserve"> kapitel 1+2,</w:t>
      </w:r>
      <w:r>
        <w:t xml:space="preserve"> E</w:t>
      </w:r>
      <w:r w:rsidR="0046428C">
        <w:t>rsatz, 2012.</w:t>
      </w:r>
    </w:p>
    <w:p w14:paraId="64D1D9EE" w14:textId="77777777" w:rsidR="00051447" w:rsidRDefault="00051447" w:rsidP="00051447">
      <w:r>
        <w:t xml:space="preserve">Goldhill, Simon: ”Drama and the City of Athens” in </w:t>
      </w:r>
      <w:r w:rsidRPr="0046428C">
        <w:rPr>
          <w:rStyle w:val="fn"/>
          <w:i/>
        </w:rPr>
        <w:t>Aeschylus: The Oresteia</w:t>
      </w:r>
      <w:r>
        <w:rPr>
          <w:rStyle w:val="fn"/>
        </w:rPr>
        <w:t xml:space="preserve">, Cambridge </w:t>
      </w:r>
      <w:r w:rsidR="0046428C">
        <w:rPr>
          <w:rStyle w:val="fn"/>
        </w:rPr>
        <w:t>University Press, 2004.</w:t>
      </w:r>
    </w:p>
    <w:p w14:paraId="61A261B1" w14:textId="77777777" w:rsidR="00051447" w:rsidRDefault="00051447" w:rsidP="00051447">
      <w:r>
        <w:t xml:space="preserve">Keene, Maurice: </w:t>
      </w:r>
      <w:r w:rsidR="0046428C">
        <w:t xml:space="preserve">”Introduction” in </w:t>
      </w:r>
      <w:r w:rsidRPr="00D858BE">
        <w:rPr>
          <w:i/>
        </w:rPr>
        <w:t>On Chivalry</w:t>
      </w:r>
      <w:r>
        <w:t>, Yale</w:t>
      </w:r>
      <w:r w:rsidR="0046428C">
        <w:t xml:space="preserve"> University Press, 2005. </w:t>
      </w:r>
    </w:p>
    <w:p w14:paraId="2D8AA229" w14:textId="77777777" w:rsidR="00051447" w:rsidRDefault="00051447" w:rsidP="00051447">
      <w:r>
        <w:t xml:space="preserve">Morris, Mark: ”Sei Shōnagon's Poetic Catalogues” </w:t>
      </w:r>
      <w:r>
        <w:rPr>
          <w:rStyle w:val="HTML-citat"/>
        </w:rPr>
        <w:t>Harvard Journal of Asiatic Studies</w:t>
      </w:r>
      <w:r>
        <w:t>, Vol. 40, No. 1 (Jun., 1980).Via LUBSEARCH.</w:t>
      </w:r>
    </w:p>
    <w:p w14:paraId="3A7BD716" w14:textId="77777777" w:rsidR="00051447" w:rsidRDefault="00051447" w:rsidP="00051447">
      <w:r>
        <w:t>http://www.jstor.org.ludwig.lub.lu.se/stable/2718916</w:t>
      </w:r>
    </w:p>
    <w:p w14:paraId="3BF738D1" w14:textId="77777777" w:rsidR="00051447" w:rsidRDefault="00051447" w:rsidP="00051447">
      <w:r>
        <w:t xml:space="preserve">Vernant, Jean Pierre/Pierre Vidal Naquet: ”The Historical Moment of Tragedy in Greece” in </w:t>
      </w:r>
      <w:r w:rsidRPr="007B611E">
        <w:rPr>
          <w:i/>
        </w:rPr>
        <w:t>Myth and Tragedy in Ancient Greece</w:t>
      </w:r>
      <w:r>
        <w:t>, Zone Books,</w:t>
      </w:r>
      <w:r w:rsidR="0046428C">
        <w:t xml:space="preserve"> 1990.</w:t>
      </w:r>
    </w:p>
    <w:p w14:paraId="164B6AE4" w14:textId="47E67CF1" w:rsidR="0046428C" w:rsidRDefault="0046428C" w:rsidP="00051447">
      <w:r>
        <w:t xml:space="preserve">Hertel, m.fl.: </w:t>
      </w:r>
      <w:r w:rsidRPr="0046428C">
        <w:rPr>
          <w:i/>
        </w:rPr>
        <w:t>Litteraturens Historia</w:t>
      </w:r>
      <w:r>
        <w:t>,</w:t>
      </w:r>
      <w:r w:rsidR="00E705FC">
        <w:t xml:space="preserve"> bd II, Nordstedts, 1985, s. 90–</w:t>
      </w:r>
      <w:r>
        <w:t>101.</w:t>
      </w:r>
    </w:p>
    <w:p w14:paraId="665072CF" w14:textId="77777777" w:rsidR="00051447" w:rsidRDefault="00051447" w:rsidP="00051447">
      <w:pPr>
        <w:spacing w:line="360" w:lineRule="auto"/>
        <w:rPr>
          <w:b/>
        </w:rPr>
      </w:pPr>
    </w:p>
    <w:p w14:paraId="37516211" w14:textId="77777777" w:rsidR="00051447" w:rsidRDefault="00051447" w:rsidP="00051447">
      <w:pPr>
        <w:spacing w:line="360" w:lineRule="auto"/>
        <w:rPr>
          <w:b/>
        </w:rPr>
      </w:pPr>
      <w:r>
        <w:rPr>
          <w:b/>
        </w:rPr>
        <w:t>Facklitteratur: ca. 250 s.</w:t>
      </w:r>
    </w:p>
    <w:p w14:paraId="482BEB1C" w14:textId="77777777" w:rsidR="00051447" w:rsidRDefault="00051447" w:rsidP="00051447">
      <w:pPr>
        <w:ind w:left="567" w:hanging="567"/>
      </w:pPr>
    </w:p>
    <w:p w14:paraId="57E76F35" w14:textId="77777777" w:rsidR="00051447" w:rsidRDefault="00051447" w:rsidP="00051447">
      <w:pPr>
        <w:ind w:left="567" w:hanging="567"/>
        <w:rPr>
          <w:i/>
        </w:rPr>
      </w:pPr>
      <w:r>
        <w:rPr>
          <w:i/>
        </w:rPr>
        <w:t>Skönlitteratur</w:t>
      </w:r>
    </w:p>
    <w:p w14:paraId="64A21C84" w14:textId="77777777" w:rsidR="00051447" w:rsidRDefault="00051447" w:rsidP="00051447">
      <w:pPr>
        <w:pStyle w:val="Litteratur"/>
        <w:spacing w:line="240" w:lineRule="auto"/>
      </w:pPr>
    </w:p>
    <w:p w14:paraId="3A2CF31B" w14:textId="77777777" w:rsidR="00051447" w:rsidRDefault="00051447" w:rsidP="00051447">
      <w:pPr>
        <w:pStyle w:val="Litteratur"/>
        <w:spacing w:line="240" w:lineRule="auto"/>
      </w:pPr>
      <w:r>
        <w:rPr>
          <w:i/>
        </w:rPr>
        <w:t>Bibeln</w:t>
      </w:r>
      <w:r>
        <w:t xml:space="preserve"> – 1999 års översättning (den s.k. ”Bibel 2000”, finns i pocket), (ca 35 s.)</w:t>
      </w:r>
    </w:p>
    <w:p w14:paraId="5DD1F395" w14:textId="77777777" w:rsidR="00E705FC" w:rsidRDefault="00051447" w:rsidP="00E705FC">
      <w:pPr>
        <w:pStyle w:val="Litteratur"/>
        <w:spacing w:line="240" w:lineRule="auto"/>
      </w:pPr>
      <w:r>
        <w:t xml:space="preserve">Dante Alighieri, ”Inferno” ur </w:t>
      </w:r>
      <w:r>
        <w:rPr>
          <w:i/>
        </w:rPr>
        <w:t>Gudomliga komedin</w:t>
      </w:r>
      <w:r>
        <w:t xml:space="preserve">, </w:t>
      </w:r>
      <w:r>
        <w:rPr>
          <w:color w:val="000000"/>
        </w:rPr>
        <w:t xml:space="preserve">Stockholm: Natur &amp; Kultur 2006 </w:t>
      </w:r>
      <w:r w:rsidR="00E705FC">
        <w:t>(hela ”Inferno” läses, 130 s.)</w:t>
      </w:r>
    </w:p>
    <w:p w14:paraId="1D5FFDD0" w14:textId="77777777" w:rsidR="00051447" w:rsidRDefault="00051447" w:rsidP="00E705FC">
      <w:pPr>
        <w:pStyle w:val="Litteratur"/>
        <w:spacing w:line="240" w:lineRule="auto"/>
        <w:ind w:left="0" w:firstLine="0"/>
      </w:pPr>
      <w:r>
        <w:t xml:space="preserve">Euripides, </w:t>
      </w:r>
      <w:r>
        <w:rPr>
          <w:i/>
        </w:rPr>
        <w:t>Medea,</w:t>
      </w:r>
      <w:r>
        <w:t xml:space="preserve"> </w:t>
      </w:r>
      <w:r>
        <w:rPr>
          <w:i/>
        </w:rPr>
        <w:t>Världsdramatik</w:t>
      </w:r>
      <w:r>
        <w:t xml:space="preserve"> del I (1998), red. Bengt Lewan, Lund: Studentlitteratur (26 s.)</w:t>
      </w:r>
    </w:p>
    <w:p w14:paraId="3177F430" w14:textId="5A7A9064" w:rsidR="00051447" w:rsidRDefault="00051447" w:rsidP="00051447">
      <w:r>
        <w:t xml:space="preserve">Homeros: </w:t>
      </w:r>
      <w:r w:rsidRPr="008E6CBE">
        <w:rPr>
          <w:i/>
        </w:rPr>
        <w:t>Iliaden</w:t>
      </w:r>
      <w:r>
        <w:t xml:space="preserve"> (öv</w:t>
      </w:r>
      <w:r w:rsidR="00E705FC">
        <w:t>er</w:t>
      </w:r>
      <w:r>
        <w:t xml:space="preserve">s. av Ingvar Björkeson), Natur och Kultur, 2009. </w:t>
      </w:r>
    </w:p>
    <w:p w14:paraId="3579746C" w14:textId="77777777" w:rsidR="00E52072" w:rsidRDefault="00E52072" w:rsidP="00051447"/>
    <w:p w14:paraId="5E3CDDFD" w14:textId="2B02306F" w:rsidR="00051447" w:rsidRDefault="00051447" w:rsidP="00051447">
      <w:r>
        <w:t xml:space="preserve">Montaigne, Michel de: ”Om Kannibaler” in </w:t>
      </w:r>
      <w:r w:rsidRPr="00D858BE">
        <w:rPr>
          <w:i/>
        </w:rPr>
        <w:t>Essayer</w:t>
      </w:r>
      <w:r>
        <w:t>, öv</w:t>
      </w:r>
      <w:r w:rsidR="00E705FC">
        <w:t>er</w:t>
      </w:r>
      <w:r>
        <w:t xml:space="preserve">s. Jan Stolpe, Atlantis 2012. </w:t>
      </w:r>
    </w:p>
    <w:p w14:paraId="601D17C3" w14:textId="77777777" w:rsidR="00051447" w:rsidRDefault="00051447" w:rsidP="00051447">
      <w:pPr>
        <w:pStyle w:val="Litteratur"/>
        <w:spacing w:line="240" w:lineRule="auto"/>
      </w:pPr>
    </w:p>
    <w:p w14:paraId="57258069" w14:textId="77777777" w:rsidR="00051447" w:rsidRDefault="00051447" w:rsidP="00051447">
      <w:pPr>
        <w:pStyle w:val="Litteratur"/>
        <w:spacing w:line="240" w:lineRule="auto"/>
      </w:pPr>
      <w:r>
        <w:t xml:space="preserve">Nuwas, Abu: Texturval från: </w:t>
      </w:r>
      <w:hyperlink r:id="rId8" w:history="1">
        <w:r w:rsidRPr="000A506B">
          <w:rPr>
            <w:rStyle w:val="Hyperlnk"/>
          </w:rPr>
          <w:t>http://www.gay-art-history.org/gay-history/gay-literature/gay-poetry/abu-nuwas-gay/abu-nuwas-gay-poet.html</w:t>
        </w:r>
      </w:hyperlink>
      <w:r>
        <w:t xml:space="preserve"> </w:t>
      </w:r>
    </w:p>
    <w:p w14:paraId="54BC1D8D" w14:textId="77777777" w:rsidR="00051447" w:rsidRDefault="00051447" w:rsidP="00051447">
      <w:pPr>
        <w:pStyle w:val="Litteratur"/>
        <w:spacing w:line="240" w:lineRule="auto"/>
      </w:pPr>
    </w:p>
    <w:p w14:paraId="4FC68928" w14:textId="18517E39" w:rsidR="00051447" w:rsidRDefault="00051447" w:rsidP="00051447">
      <w:pPr>
        <w:pStyle w:val="Litteratur"/>
        <w:spacing w:line="240" w:lineRule="auto"/>
      </w:pPr>
      <w:r>
        <w:lastRenderedPageBreak/>
        <w:t xml:space="preserve">Rumi, Jalal al Din-: Texturval från </w:t>
      </w:r>
      <w:hyperlink r:id="rId9" w:history="1">
        <w:r w:rsidRPr="000A506B">
          <w:rPr>
            <w:rStyle w:val="Hyperlnk"/>
          </w:rPr>
          <w:t>https://sufipoetry.wordpress.com/2009/11/27/na-man behuda-rumi/</w:t>
        </w:r>
      </w:hyperlink>
      <w:r w:rsidR="00E705FC">
        <w:t xml:space="preserve"> –</w:t>
      </w:r>
      <w:r>
        <w:t xml:space="preserve"> inklusive Nusrat Khans performance av dikten: ”na-man-behuda”. </w:t>
      </w:r>
    </w:p>
    <w:p w14:paraId="0E88A2B2" w14:textId="0964065C" w:rsidR="00051447" w:rsidRDefault="00051447" w:rsidP="00051447">
      <w:pPr>
        <w:pStyle w:val="Litteratur"/>
        <w:spacing w:line="240" w:lineRule="auto"/>
      </w:pPr>
      <w:r>
        <w:t xml:space="preserve">Shakespeare, William, </w:t>
      </w:r>
      <w:r>
        <w:rPr>
          <w:i/>
        </w:rPr>
        <w:t>Hamlet</w:t>
      </w:r>
      <w:r>
        <w:t xml:space="preserve">, Ordfront förlag, (eller valfri utgåva) (139 s.) </w:t>
      </w:r>
    </w:p>
    <w:p w14:paraId="2AD62E01" w14:textId="21561632" w:rsidR="00051447" w:rsidRDefault="00051447" w:rsidP="00051447">
      <w:pPr>
        <w:pStyle w:val="Litteratur"/>
        <w:spacing w:line="240" w:lineRule="auto"/>
      </w:pPr>
      <w:r w:rsidRPr="00600527">
        <w:rPr>
          <w:i/>
        </w:rPr>
        <w:t>Stormen</w:t>
      </w:r>
      <w:r>
        <w:t xml:space="preserve"> (öv</w:t>
      </w:r>
      <w:r w:rsidR="00E705FC">
        <w:t>er</w:t>
      </w:r>
      <w:r>
        <w:t>s</w:t>
      </w:r>
      <w:r w:rsidR="00E705FC">
        <w:t>.</w:t>
      </w:r>
      <w:r>
        <w:t xml:space="preserve"> Ben</w:t>
      </w:r>
      <w:r w:rsidR="00E705FC">
        <w:t>gt Anderberg), Ordfront Förlag</w:t>
      </w:r>
    </w:p>
    <w:p w14:paraId="75AF9DB3" w14:textId="77777777" w:rsidR="00051447" w:rsidRPr="00D858BE" w:rsidRDefault="00051447" w:rsidP="00051447">
      <w:pPr>
        <w:pStyle w:val="Litteratur"/>
        <w:spacing w:line="240" w:lineRule="auto"/>
      </w:pPr>
      <w:r w:rsidRPr="000D1C01">
        <w:t>Shonagon, Sei</w:t>
      </w:r>
      <w:r>
        <w:rPr>
          <w:i/>
        </w:rPr>
        <w:t>: Kuddboken</w:t>
      </w:r>
      <w:r>
        <w:t>, Ellerströms, 2012. (30 s.)</w:t>
      </w:r>
    </w:p>
    <w:p w14:paraId="6D41C4D9" w14:textId="77777777" w:rsidR="00051447" w:rsidRDefault="00051447" w:rsidP="00051447">
      <w:pPr>
        <w:pStyle w:val="Litteratur"/>
        <w:spacing w:line="240" w:lineRule="auto"/>
        <w:ind w:left="0" w:firstLine="0"/>
      </w:pPr>
      <w:r>
        <w:t xml:space="preserve">Sofokles, </w:t>
      </w:r>
      <w:r>
        <w:rPr>
          <w:i/>
        </w:rPr>
        <w:t>Antigone, Världsdramatik</w:t>
      </w:r>
      <w:r>
        <w:t xml:space="preserve"> del I (1998), red. Bengt Lewan, Lund: Studentlitteratur (25 s.)</w:t>
      </w:r>
    </w:p>
    <w:p w14:paraId="0F29BD89" w14:textId="77777777" w:rsidR="00051447" w:rsidRPr="00E8440C" w:rsidRDefault="00051447" w:rsidP="00051447">
      <w:pPr>
        <w:pStyle w:val="Litteratur"/>
        <w:spacing w:line="240" w:lineRule="auto"/>
      </w:pPr>
      <w:r>
        <w:rPr>
          <w:i/>
        </w:rPr>
        <w:t xml:space="preserve">Texter från Sapfo till Strindberg, </w:t>
      </w:r>
      <w:r>
        <w:t>red. Dick Claésson m.fl., Lund: Studentlitteratur 2006, ISBN</w:t>
      </w:r>
      <w:r>
        <w:rPr>
          <w:color w:val="000000"/>
        </w:rPr>
        <w:t xml:space="preserve"> 91-4403-248-X</w:t>
      </w:r>
      <w:r>
        <w:t xml:space="preserve">. Herfra læses: Sapfo 49-58, Aristoteles: </w:t>
      </w:r>
      <w:r w:rsidRPr="00E8440C">
        <w:rPr>
          <w:i/>
        </w:rPr>
        <w:t>Om Diktkons</w:t>
      </w:r>
      <w:r>
        <w:rPr>
          <w:i/>
        </w:rPr>
        <w:t>t</w:t>
      </w:r>
      <w:r w:rsidRPr="00E8440C">
        <w:rPr>
          <w:i/>
        </w:rPr>
        <w:t>en</w:t>
      </w:r>
      <w:r>
        <w:t xml:space="preserve"> 117, Catullus: ur </w:t>
      </w:r>
      <w:r w:rsidRPr="00E8440C">
        <w:rPr>
          <w:i/>
        </w:rPr>
        <w:t>Carmina</w:t>
      </w:r>
      <w:r>
        <w:t xml:space="preserve"> 168-181, Vergilius: ur </w:t>
      </w:r>
      <w:r w:rsidRPr="00E8440C">
        <w:rPr>
          <w:i/>
        </w:rPr>
        <w:t>Aeneiden</w:t>
      </w:r>
      <w:r>
        <w:t xml:space="preserve"> 185, 186, Propertius: </w:t>
      </w:r>
      <w:r w:rsidRPr="00E8440C">
        <w:rPr>
          <w:i/>
        </w:rPr>
        <w:t>Elegier</w:t>
      </w:r>
      <w:r>
        <w:t xml:space="preserve"> 208-219, Augustinus: ur </w:t>
      </w:r>
      <w:r w:rsidRPr="00E8440C">
        <w:rPr>
          <w:i/>
        </w:rPr>
        <w:t>Bekännelser</w:t>
      </w:r>
      <w:r>
        <w:rPr>
          <w:i/>
        </w:rPr>
        <w:t xml:space="preserve"> </w:t>
      </w:r>
      <w:r>
        <w:t xml:space="preserve">281, Gunnlaug Ormstungas saga 293, Gottfried von Strassburg og Heinrich von Freiberg: ur </w:t>
      </w:r>
      <w:r w:rsidRPr="00E8440C">
        <w:rPr>
          <w:i/>
        </w:rPr>
        <w:t>Tristan</w:t>
      </w:r>
      <w:r>
        <w:t xml:space="preserve"> 332, Chrétien de Troyes: ur </w:t>
      </w:r>
      <w:r w:rsidRPr="00E8440C">
        <w:rPr>
          <w:i/>
        </w:rPr>
        <w:t xml:space="preserve">Perceval </w:t>
      </w:r>
      <w:r>
        <w:t xml:space="preserve">382, Marie de France: </w:t>
      </w:r>
      <w:r w:rsidRPr="00E8440C">
        <w:rPr>
          <w:i/>
        </w:rPr>
        <w:t>De bägga älskande</w:t>
      </w:r>
      <w:r>
        <w:t xml:space="preserve"> 383, Beatrice de Dia 388-389, Christine de Pisan: ur </w:t>
      </w:r>
      <w:r w:rsidRPr="00E8440C">
        <w:rPr>
          <w:i/>
        </w:rPr>
        <w:t>Kvinnostaden</w:t>
      </w:r>
      <w:r>
        <w:t xml:space="preserve"> + ur </w:t>
      </w:r>
      <w:r w:rsidRPr="00E8440C">
        <w:rPr>
          <w:i/>
        </w:rPr>
        <w:t xml:space="preserve">Ballader </w:t>
      </w:r>
      <w:r>
        <w:t xml:space="preserve">399-402, Margareta av Navarra: ur </w:t>
      </w:r>
      <w:r w:rsidRPr="00E8440C">
        <w:rPr>
          <w:i/>
        </w:rPr>
        <w:t>Heptaméron</w:t>
      </w:r>
      <w:r>
        <w:t xml:space="preserve"> 426-28, Louise Labé 440-443, Guido Cavalcanti 475, Dante: </w:t>
      </w:r>
      <w:r w:rsidRPr="006E7E00">
        <w:rPr>
          <w:i/>
        </w:rPr>
        <w:t>Om litterärkonst på folkspråket</w:t>
      </w:r>
      <w:r>
        <w:t xml:space="preserve"> 480-85, Francesco Petrarca </w:t>
      </w:r>
      <w:r w:rsidRPr="006E7E00">
        <w:rPr>
          <w:i/>
        </w:rPr>
        <w:t>Sonetter</w:t>
      </w:r>
      <w:r>
        <w:t xml:space="preserve"> 502-512, Giovanni Pico della Mirandola: </w:t>
      </w:r>
      <w:r w:rsidRPr="006E7E00">
        <w:rPr>
          <w:i/>
        </w:rPr>
        <w:t>Tal ur människans värdighet</w:t>
      </w:r>
      <w:r>
        <w:t xml:space="preserve"> 520, Michelangelo Buonarotti: 525-529, Gaspara Stampa: (536-541). </w:t>
      </w:r>
    </w:p>
    <w:p w14:paraId="4F58D842" w14:textId="77777777" w:rsidR="00051447" w:rsidRPr="00E73540" w:rsidRDefault="00051447" w:rsidP="00051447">
      <w:pPr>
        <w:rPr>
          <w:i/>
        </w:rPr>
      </w:pPr>
      <w:r>
        <w:rPr>
          <w:b/>
        </w:rPr>
        <w:t>Skönlitteratur: ca 800 s</w:t>
      </w:r>
    </w:p>
    <w:p w14:paraId="1E6D2B41" w14:textId="77777777" w:rsidR="00051447" w:rsidRDefault="00051447" w:rsidP="00051447">
      <w:pPr>
        <w:ind w:left="567" w:hanging="567"/>
        <w:rPr>
          <w:b/>
        </w:rPr>
      </w:pPr>
    </w:p>
    <w:p w14:paraId="5D2116D5" w14:textId="77777777" w:rsidR="00051447" w:rsidRDefault="00051447" w:rsidP="00051447">
      <w:pPr>
        <w:pStyle w:val="Rubrik1"/>
      </w:pPr>
    </w:p>
    <w:p w14:paraId="5975C863" w14:textId="77777777" w:rsidR="00051447" w:rsidRDefault="00051447" w:rsidP="00051447"/>
    <w:p w14:paraId="16956418" w14:textId="77777777" w:rsidR="00051447" w:rsidRDefault="00051447" w:rsidP="00051447"/>
    <w:p w14:paraId="7C2DB64C" w14:textId="77777777" w:rsidR="00051447" w:rsidRDefault="00051447" w:rsidP="00051447"/>
    <w:p w14:paraId="00B769B0" w14:textId="77777777" w:rsidR="00051447" w:rsidRDefault="00051447" w:rsidP="00051447"/>
    <w:p w14:paraId="175E43F4" w14:textId="77777777" w:rsidR="00051447" w:rsidRDefault="00051447" w:rsidP="00051447"/>
    <w:p w14:paraId="1661B844" w14:textId="77777777" w:rsidR="005A4882" w:rsidRDefault="005A4882"/>
    <w:sectPr w:rsidR="005A4882" w:rsidSect="00E8440C">
      <w:headerReference w:type="default" r:id="rId10"/>
      <w:pgSz w:w="11900" w:h="16837"/>
      <w:pgMar w:top="1418" w:right="1474" w:bottom="1418" w:left="147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5F55" w14:textId="77777777" w:rsidR="0082062C" w:rsidRDefault="0082062C">
      <w:r>
        <w:separator/>
      </w:r>
    </w:p>
  </w:endnote>
  <w:endnote w:type="continuationSeparator" w:id="0">
    <w:p w14:paraId="6437D4AC" w14:textId="77777777" w:rsidR="0082062C" w:rsidRDefault="0082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63A14" w14:textId="77777777" w:rsidR="0082062C" w:rsidRDefault="0082062C">
      <w:r>
        <w:separator/>
      </w:r>
    </w:p>
  </w:footnote>
  <w:footnote w:type="continuationSeparator" w:id="0">
    <w:p w14:paraId="1C46F0E6" w14:textId="77777777" w:rsidR="0082062C" w:rsidRDefault="0082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D8C4" w14:textId="77777777" w:rsidR="00D858BE" w:rsidRDefault="00E52072" w:rsidP="00E8440C">
    <w:pPr>
      <w:pStyle w:val="Sidhuvud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7F0E8F">
      <w:rPr>
        <w:noProof/>
      </w:rPr>
      <w:t>2015-12-08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47"/>
    <w:rsid w:val="00051447"/>
    <w:rsid w:val="00067382"/>
    <w:rsid w:val="0046428C"/>
    <w:rsid w:val="005A4882"/>
    <w:rsid w:val="007F0E8F"/>
    <w:rsid w:val="0082062C"/>
    <w:rsid w:val="008344E9"/>
    <w:rsid w:val="00E52072"/>
    <w:rsid w:val="00E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3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47"/>
    <w:pPr>
      <w:suppressAutoHyphens/>
    </w:pPr>
    <w:rPr>
      <w:rFonts w:ascii="Times" w:eastAsia="Times New Roman" w:hAnsi="Times" w:cs="Times New Roman"/>
      <w:kern w:val="1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05144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1447"/>
    <w:rPr>
      <w:rFonts w:ascii="Baskerville" w:eastAsia="Times New Roman" w:hAnsi="Baskerville" w:cs="Times New Roman"/>
      <w:kern w:val="1"/>
      <w:sz w:val="28"/>
      <w:szCs w:val="20"/>
      <w:lang w:eastAsia="ar-SA"/>
    </w:rPr>
  </w:style>
  <w:style w:type="character" w:customStyle="1" w:styleId="value">
    <w:name w:val="value"/>
    <w:basedOn w:val="Standardstycketeckensnitt"/>
    <w:rsid w:val="00051447"/>
  </w:style>
  <w:style w:type="paragraph" w:styleId="Sidhuvud">
    <w:name w:val="header"/>
    <w:basedOn w:val="Normal"/>
    <w:link w:val="SidhuvudChar"/>
    <w:rsid w:val="000514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customStyle="1" w:styleId="Litteratur">
    <w:name w:val="Litteratur"/>
    <w:basedOn w:val="Normal"/>
    <w:qFormat/>
    <w:rsid w:val="00051447"/>
    <w:pPr>
      <w:spacing w:after="120" w:line="360" w:lineRule="exact"/>
      <w:ind w:left="284" w:hanging="284"/>
      <w:jc w:val="both"/>
    </w:pPr>
  </w:style>
  <w:style w:type="character" w:styleId="Hyperlnk">
    <w:name w:val="Hyperlink"/>
    <w:basedOn w:val="Standardstycketeckensnitt"/>
    <w:uiPriority w:val="99"/>
    <w:unhideWhenUsed/>
    <w:rsid w:val="0005144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051447"/>
    <w:rPr>
      <w:i/>
      <w:iCs/>
    </w:rPr>
  </w:style>
  <w:style w:type="character" w:customStyle="1" w:styleId="fn">
    <w:name w:val="fn"/>
    <w:basedOn w:val="Standardstycketeckensnitt"/>
    <w:rsid w:val="00051447"/>
  </w:style>
  <w:style w:type="character" w:customStyle="1" w:styleId="st">
    <w:name w:val="st"/>
    <w:basedOn w:val="Standardstycketeckensnitt"/>
    <w:rsid w:val="00051447"/>
  </w:style>
  <w:style w:type="character" w:styleId="Betoning">
    <w:name w:val="Emphasis"/>
    <w:basedOn w:val="Standardstycketeckensnitt"/>
    <w:uiPriority w:val="20"/>
    <w:qFormat/>
    <w:rsid w:val="0005144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0514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51447"/>
    <w:rPr>
      <w:rFonts w:ascii="Times" w:eastAsia="Times New Roman" w:hAnsi="Times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47"/>
    <w:pPr>
      <w:suppressAutoHyphens/>
    </w:pPr>
    <w:rPr>
      <w:rFonts w:ascii="Times" w:eastAsia="Times New Roman" w:hAnsi="Times" w:cs="Times New Roman"/>
      <w:kern w:val="1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05144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1447"/>
    <w:rPr>
      <w:rFonts w:ascii="Baskerville" w:eastAsia="Times New Roman" w:hAnsi="Baskerville" w:cs="Times New Roman"/>
      <w:kern w:val="1"/>
      <w:sz w:val="28"/>
      <w:szCs w:val="20"/>
      <w:lang w:eastAsia="ar-SA"/>
    </w:rPr>
  </w:style>
  <w:style w:type="character" w:customStyle="1" w:styleId="value">
    <w:name w:val="value"/>
    <w:basedOn w:val="Standardstycketeckensnitt"/>
    <w:rsid w:val="00051447"/>
  </w:style>
  <w:style w:type="paragraph" w:styleId="Sidhuvud">
    <w:name w:val="header"/>
    <w:basedOn w:val="Normal"/>
    <w:link w:val="SidhuvudChar"/>
    <w:rsid w:val="000514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customStyle="1" w:styleId="Litteratur">
    <w:name w:val="Litteratur"/>
    <w:basedOn w:val="Normal"/>
    <w:qFormat/>
    <w:rsid w:val="00051447"/>
    <w:pPr>
      <w:spacing w:after="120" w:line="360" w:lineRule="exact"/>
      <w:ind w:left="284" w:hanging="284"/>
      <w:jc w:val="both"/>
    </w:pPr>
  </w:style>
  <w:style w:type="character" w:styleId="Hyperlnk">
    <w:name w:val="Hyperlink"/>
    <w:basedOn w:val="Standardstycketeckensnitt"/>
    <w:uiPriority w:val="99"/>
    <w:unhideWhenUsed/>
    <w:rsid w:val="0005144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051447"/>
    <w:rPr>
      <w:i/>
      <w:iCs/>
    </w:rPr>
  </w:style>
  <w:style w:type="character" w:customStyle="1" w:styleId="fn">
    <w:name w:val="fn"/>
    <w:basedOn w:val="Standardstycketeckensnitt"/>
    <w:rsid w:val="00051447"/>
  </w:style>
  <w:style w:type="character" w:customStyle="1" w:styleId="st">
    <w:name w:val="st"/>
    <w:basedOn w:val="Standardstycketeckensnitt"/>
    <w:rsid w:val="00051447"/>
  </w:style>
  <w:style w:type="character" w:styleId="Betoning">
    <w:name w:val="Emphasis"/>
    <w:basedOn w:val="Standardstycketeckensnitt"/>
    <w:uiPriority w:val="20"/>
    <w:qFormat/>
    <w:rsid w:val="0005144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0514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51447"/>
    <w:rPr>
      <w:rFonts w:ascii="Times" w:eastAsia="Times New Roman" w:hAnsi="Times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y-art-history.org/gay-history/gay-literature/gay-poetry/abu-nuwas-gay/abu-nuwas-gay-poe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fipoetry.wordpress.com/2009/11/27/na-man%20behuda-rum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Friis</dc:creator>
  <cp:lastModifiedBy>kans-esi</cp:lastModifiedBy>
  <cp:revision>2</cp:revision>
  <cp:lastPrinted>2015-12-08T14:48:00Z</cp:lastPrinted>
  <dcterms:created xsi:type="dcterms:W3CDTF">2015-12-08T14:48:00Z</dcterms:created>
  <dcterms:modified xsi:type="dcterms:W3CDTF">2015-12-08T14:48:00Z</dcterms:modified>
</cp:coreProperties>
</file>