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FB" w:rsidRPr="009B5482" w:rsidRDefault="00962D8D">
      <w:pPr>
        <w:rPr>
          <w:b/>
        </w:rPr>
      </w:pPr>
      <w:bookmarkStart w:id="0" w:name="_GoBack"/>
      <w:bookmarkEnd w:id="0"/>
      <w:r>
        <w:rPr>
          <w:b/>
        </w:rPr>
        <w:t>LIVK02:1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HT2019</w:t>
      </w:r>
    </w:p>
    <w:p w:rsidR="00962D8D" w:rsidRDefault="00962D8D"/>
    <w:p w:rsidR="00962D8D" w:rsidRPr="003A43FE" w:rsidRDefault="00962D8D">
      <w:pPr>
        <w:rPr>
          <w:sz w:val="32"/>
          <w:szCs w:val="32"/>
        </w:rPr>
      </w:pPr>
      <w:r w:rsidRPr="003A43FE">
        <w:rPr>
          <w:sz w:val="32"/>
          <w:szCs w:val="32"/>
        </w:rPr>
        <w:t>Teoretiska perspektiv på barnlitteraturens historia (7,5 hp)</w:t>
      </w:r>
    </w:p>
    <w:p w:rsidR="00CC5857" w:rsidRPr="00AA6926" w:rsidRDefault="00CC5857" w:rsidP="00CC5857">
      <w:r w:rsidRPr="00AA6926">
        <w:t xml:space="preserve">Fastställd av Sektionsstyrelse 2, Språk- och litteraturcentrum </w:t>
      </w:r>
      <w:r w:rsidR="00942DF1">
        <w:t>10</w:t>
      </w:r>
      <w:r w:rsidRPr="00AA6926">
        <w:t>.</w:t>
      </w:r>
      <w:r w:rsidR="00942DF1">
        <w:t>06</w:t>
      </w:r>
      <w:r w:rsidRPr="00AA6926">
        <w:t>.2019</w:t>
      </w:r>
    </w:p>
    <w:p w:rsidR="00962D8D" w:rsidRDefault="00962D8D"/>
    <w:p w:rsidR="00962D8D" w:rsidRDefault="00962D8D"/>
    <w:p w:rsidR="00962D8D" w:rsidRPr="00CC5857" w:rsidRDefault="00962D8D">
      <w:pPr>
        <w:rPr>
          <w:b/>
        </w:rPr>
      </w:pPr>
      <w:r w:rsidRPr="00CC5857">
        <w:rPr>
          <w:b/>
        </w:rPr>
        <w:t>Primärlitteratur</w:t>
      </w:r>
    </w:p>
    <w:p w:rsidR="00E87ACB" w:rsidRDefault="00E87ACB" w:rsidP="00E87ACB">
      <w:pPr>
        <w:widowControl w:val="0"/>
        <w:autoSpaceDE w:val="0"/>
        <w:autoSpaceDN w:val="0"/>
        <w:adjustRightInd w:val="0"/>
        <w:jc w:val="both"/>
        <w:rPr>
          <w:rFonts w:cs="TimesNewRomanPSMT"/>
          <w:lang w:bidi="sv-SE"/>
        </w:rPr>
      </w:pPr>
      <w:r>
        <w:rPr>
          <w:rFonts w:cs="TimesNewRomanPSMT"/>
          <w:lang w:bidi="sv-SE"/>
        </w:rPr>
        <w:t xml:space="preserve">   Boozon Ekberg, Eva, m.fl., </w:t>
      </w:r>
      <w:r w:rsidRPr="009977A1">
        <w:rPr>
          <w:rFonts w:cs="TimesNewRomanPSMT"/>
          <w:i/>
          <w:lang w:bidi="sv-SE"/>
        </w:rPr>
        <w:t>Kroppens ABC</w:t>
      </w:r>
      <w:r>
        <w:rPr>
          <w:rFonts w:cs="TimesNewRomanPSMT"/>
          <w:lang w:bidi="sv-SE"/>
        </w:rPr>
        <w:t>, Linköping: Olika förlag, 2017 (56 s.)</w:t>
      </w:r>
    </w:p>
    <w:p w:rsidR="00E87ACB" w:rsidRPr="009D24B2" w:rsidRDefault="00E87ACB" w:rsidP="00E87ACB">
      <w:r>
        <w:t xml:space="preserve">   Ende, Michael, </w:t>
      </w:r>
      <w:r>
        <w:rPr>
          <w:i/>
        </w:rPr>
        <w:t>Momo eller Kampen om tiden</w:t>
      </w:r>
      <w:r>
        <w:t xml:space="preserve"> (1973), kap. 1, 2, 6 &amp; ”Litet efterord av författaren” (41 s.)</w:t>
      </w:r>
    </w:p>
    <w:p w:rsidR="00E87ACB" w:rsidRDefault="00E87ACB" w:rsidP="00E87ACB">
      <w:r>
        <w:t xml:space="preserve">   Gripe, Maria, </w:t>
      </w:r>
      <w:r w:rsidRPr="00755C11">
        <w:rPr>
          <w:i/>
        </w:rPr>
        <w:t>Agnes Cecilia – en sällsam historia</w:t>
      </w:r>
      <w:r>
        <w:t xml:space="preserve"> (1981) (219 s.)</w:t>
      </w:r>
    </w:p>
    <w:p w:rsidR="00E87ACB" w:rsidRPr="005E151C" w:rsidRDefault="00E87ACB" w:rsidP="00E87ACB">
      <w:r>
        <w:t xml:space="preserve">   Hellberg, Hans-Eric, </w:t>
      </w:r>
      <w:r>
        <w:rPr>
          <w:i/>
        </w:rPr>
        <w:t>Kram</w:t>
      </w:r>
      <w:r w:rsidR="0062427A">
        <w:t xml:space="preserve"> (1973)</w:t>
      </w:r>
      <w:r>
        <w:t xml:space="preserve"> (ca 167 s.) (äv.</w:t>
      </w:r>
      <w:r w:rsidRPr="00FE3AA6">
        <w:t xml:space="preserve"> d</w:t>
      </w:r>
      <w:r>
        <w:t>igitalt tillgänglig via projekt R</w:t>
      </w:r>
      <w:r w:rsidRPr="00FE3AA6">
        <w:t>uneberg</w:t>
      </w:r>
      <w:r>
        <w:t>)</w:t>
      </w:r>
    </w:p>
    <w:p w:rsidR="00E87ACB" w:rsidRDefault="007834F1" w:rsidP="00E87ACB">
      <w:r>
        <w:t xml:space="preserve">   Hellsing, Lennart, </w:t>
      </w:r>
      <w:r w:rsidRPr="007834F1">
        <w:rPr>
          <w:i/>
        </w:rPr>
        <w:t>Summa summarum</w:t>
      </w:r>
      <w:r>
        <w:t xml:space="preserve"> (1950) (32 s.)</w:t>
      </w:r>
    </w:p>
    <w:p w:rsidR="00E87ACB" w:rsidRDefault="00E87ACB" w:rsidP="00E87ACB">
      <w:r>
        <w:rPr>
          <w:i/>
        </w:rPr>
        <w:t xml:space="preserve">   Hetare</w:t>
      </w:r>
      <w:r>
        <w:t>, red. Anna Ahlund &amp; Cina Friedner, Stockholm: Rabén &amp; Sjögren, 2018, s. 9–17, 57–61, 129–140 (26 s.)</w:t>
      </w:r>
    </w:p>
    <w:p w:rsidR="002A15BE" w:rsidRDefault="00E87ACB">
      <w:r>
        <w:t xml:space="preserve">   </w:t>
      </w:r>
      <w:r w:rsidR="002A15BE">
        <w:t>K</w:t>
      </w:r>
      <w:r w:rsidR="00B5381D">
        <w:t xml:space="preserve">ästner, Erich, </w:t>
      </w:r>
      <w:r w:rsidR="00B5381D" w:rsidRPr="00B5381D">
        <w:rPr>
          <w:i/>
        </w:rPr>
        <w:t>Emil och detektiverna</w:t>
      </w:r>
      <w:r w:rsidR="00B5381D">
        <w:t xml:space="preserve"> (1929) (120 s.)</w:t>
      </w:r>
    </w:p>
    <w:p w:rsidR="00962D8D" w:rsidRDefault="00E87ACB">
      <w:r>
        <w:t xml:space="preserve">   </w:t>
      </w:r>
      <w:r w:rsidR="00625CFD">
        <w:t xml:space="preserve">Lindgren, Astrid, </w:t>
      </w:r>
      <w:r w:rsidR="00625CFD" w:rsidRPr="00625CFD">
        <w:rPr>
          <w:i/>
        </w:rPr>
        <w:t>Mio, min Mio</w:t>
      </w:r>
      <w:r w:rsidR="00625CFD">
        <w:t xml:space="preserve"> (1954)</w:t>
      </w:r>
      <w:r w:rsidR="002A15BE">
        <w:t xml:space="preserve"> (190 s.)</w:t>
      </w:r>
    </w:p>
    <w:p w:rsidR="009B5482" w:rsidRDefault="00E87ACB">
      <w:r>
        <w:t xml:space="preserve">   </w:t>
      </w:r>
      <w:r w:rsidR="009B5482" w:rsidRPr="00942DF1">
        <w:rPr>
          <w:lang w:val="en-US"/>
        </w:rPr>
        <w:t xml:space="preserve">London, Jack, </w:t>
      </w:r>
      <w:r w:rsidR="009B5482" w:rsidRPr="00942DF1">
        <w:rPr>
          <w:i/>
          <w:lang w:val="en-US"/>
        </w:rPr>
        <w:t>The Call of the Wild</w:t>
      </w:r>
      <w:r w:rsidR="008A4B0F" w:rsidRPr="00942DF1">
        <w:rPr>
          <w:lang w:val="en-US"/>
        </w:rPr>
        <w:t xml:space="preserve"> (1903) </w:t>
      </w:r>
      <w:r w:rsidR="002A15BE" w:rsidRPr="00942DF1">
        <w:rPr>
          <w:lang w:val="en-US"/>
        </w:rPr>
        <w:t>(144 s.)</w:t>
      </w:r>
      <w:r w:rsidR="008A4B0F" w:rsidRPr="00942DF1">
        <w:rPr>
          <w:lang w:val="en-US"/>
        </w:rPr>
        <w:t xml:space="preserve"> </w:t>
      </w:r>
      <w:r w:rsidR="008A4B0F">
        <w:t>(</w:t>
      </w:r>
      <w:r>
        <w:t xml:space="preserve">i sv. övers.: </w:t>
      </w:r>
      <w:r w:rsidR="009B5482" w:rsidRPr="002A15BE">
        <w:rPr>
          <w:i/>
        </w:rPr>
        <w:t>Skriet från vildmarken</w:t>
      </w:r>
      <w:r w:rsidR="002A15BE">
        <w:t>)</w:t>
      </w:r>
    </w:p>
    <w:p w:rsidR="00E87ACB" w:rsidRPr="009D24B2" w:rsidRDefault="00E87ACB" w:rsidP="00E87ACB">
      <w:pPr>
        <w:widowControl w:val="0"/>
        <w:autoSpaceDE w:val="0"/>
        <w:autoSpaceDN w:val="0"/>
        <w:adjustRightInd w:val="0"/>
        <w:jc w:val="both"/>
        <w:rPr>
          <w:rFonts w:cs="TimesNewRomanPSMT"/>
          <w:lang w:bidi="sv-SE"/>
        </w:rPr>
      </w:pPr>
      <w:r>
        <w:rPr>
          <w:rFonts w:cs="TimesNewRomanPSMT"/>
          <w:lang w:bidi="sv-SE"/>
        </w:rPr>
        <w:t xml:space="preserve">   Sendak, Maurice, </w:t>
      </w:r>
      <w:r>
        <w:rPr>
          <w:rFonts w:cs="TimesNewRomanPSMT"/>
          <w:i/>
          <w:lang w:bidi="sv-SE"/>
        </w:rPr>
        <w:t>Till vildingarnas land</w:t>
      </w:r>
      <w:r>
        <w:rPr>
          <w:rFonts w:cs="TimesNewRomanPSMT"/>
          <w:lang w:bidi="sv-SE"/>
        </w:rPr>
        <w:t xml:space="preserve"> (1963) (48 s.)</w:t>
      </w:r>
    </w:p>
    <w:p w:rsidR="00625CFD" w:rsidRPr="00942DF1" w:rsidRDefault="00E87ACB">
      <w:pPr>
        <w:rPr>
          <w:lang w:val="en-US"/>
        </w:rPr>
      </w:pPr>
      <w:r>
        <w:t xml:space="preserve">   </w:t>
      </w:r>
      <w:r w:rsidR="00625CFD" w:rsidRPr="00942DF1">
        <w:rPr>
          <w:lang w:val="en-US"/>
        </w:rPr>
        <w:t xml:space="preserve">Taikon, Katarina, </w:t>
      </w:r>
      <w:r w:rsidR="00625CFD" w:rsidRPr="00942DF1">
        <w:rPr>
          <w:i/>
          <w:lang w:val="en-US"/>
        </w:rPr>
        <w:t>Niki</w:t>
      </w:r>
      <w:r w:rsidR="00625CFD" w:rsidRPr="00942DF1">
        <w:rPr>
          <w:lang w:val="en-US"/>
        </w:rPr>
        <w:t xml:space="preserve"> (1970)</w:t>
      </w:r>
      <w:r w:rsidR="002A15BE" w:rsidRPr="00942DF1">
        <w:rPr>
          <w:lang w:val="en-US"/>
        </w:rPr>
        <w:t xml:space="preserve"> (70 s.)</w:t>
      </w:r>
    </w:p>
    <w:p w:rsidR="00E87ACB" w:rsidRPr="00942DF1" w:rsidRDefault="00E87ACB" w:rsidP="00E87ACB">
      <w:pPr>
        <w:rPr>
          <w:lang w:val="en-US"/>
        </w:rPr>
      </w:pPr>
      <w:r w:rsidRPr="00942DF1">
        <w:rPr>
          <w:lang w:val="en-US"/>
        </w:rPr>
        <w:t xml:space="preserve">   Tamaki, Mariko &amp; Jillian Tamaki, </w:t>
      </w:r>
      <w:r w:rsidRPr="00942DF1">
        <w:rPr>
          <w:i/>
          <w:lang w:val="en-US"/>
        </w:rPr>
        <w:t>This one summer</w:t>
      </w:r>
      <w:r w:rsidRPr="00942DF1">
        <w:rPr>
          <w:lang w:val="en-US"/>
        </w:rPr>
        <w:t>, New York: First Second, 2014 (318 s.)</w:t>
      </w:r>
    </w:p>
    <w:p w:rsidR="00E87ACB" w:rsidRPr="006E6E05" w:rsidRDefault="00E87ACB" w:rsidP="00E87ACB">
      <w:r w:rsidRPr="00942DF1">
        <w:rPr>
          <w:lang w:val="en-US"/>
        </w:rPr>
        <w:t xml:space="preserve">   </w:t>
      </w:r>
      <w:r w:rsidRPr="006E6E05">
        <w:t xml:space="preserve">Verne, Jules, </w:t>
      </w:r>
      <w:r w:rsidRPr="006E6E05">
        <w:rPr>
          <w:i/>
        </w:rPr>
        <w:t>En världsomsegling under havet</w:t>
      </w:r>
      <w:r w:rsidRPr="006E6E05">
        <w:t xml:space="preserve"> (1870),</w:t>
      </w:r>
      <w:r w:rsidRPr="006E6E05">
        <w:rPr>
          <w:i/>
        </w:rPr>
        <w:t xml:space="preserve"> </w:t>
      </w:r>
      <w:r w:rsidR="006E6E05">
        <w:t>kap. 1–4, 11–13, 26, 27 &amp;</w:t>
      </w:r>
      <w:r w:rsidR="006E6E05" w:rsidRPr="006E6E05">
        <w:t xml:space="preserve"> 45</w:t>
      </w:r>
      <w:r w:rsidRPr="006E6E05">
        <w:t xml:space="preserve"> (75 s.)</w:t>
      </w:r>
    </w:p>
    <w:p w:rsidR="00962D8D" w:rsidRDefault="00962D8D"/>
    <w:p w:rsidR="00962D8D" w:rsidRDefault="00962D8D">
      <w:pPr>
        <w:rPr>
          <w:b/>
        </w:rPr>
      </w:pPr>
      <w:r w:rsidRPr="00CC5857">
        <w:rPr>
          <w:b/>
        </w:rPr>
        <w:t>Sekundärlitteratur</w:t>
      </w:r>
    </w:p>
    <w:p w:rsidR="00A843F7" w:rsidRDefault="00A843F7">
      <w:r>
        <w:t xml:space="preserve">   Alfvén-Eriksson, Anne-Marie, ”Lennart Hellsing – en rebel. Om Lennart Hellsings karne-valistiske nonsens”, </w:t>
      </w:r>
      <w:r w:rsidRPr="00A843F7">
        <w:rPr>
          <w:i/>
        </w:rPr>
        <w:t>Plys. Årbok for bø</w:t>
      </w:r>
      <w:r>
        <w:rPr>
          <w:i/>
        </w:rPr>
        <w:t>rne- og ungdo</w:t>
      </w:r>
      <w:r w:rsidRPr="00A843F7">
        <w:rPr>
          <w:i/>
        </w:rPr>
        <w:t>mslitteratur</w:t>
      </w:r>
      <w:r>
        <w:t xml:space="preserve"> 13, 1999, s. 109–116</w:t>
      </w:r>
      <w:r w:rsidR="00383223">
        <w:t xml:space="preserve"> (18 s.)</w:t>
      </w:r>
      <w:r w:rsidR="005457B5">
        <w:t xml:space="preserve"> (LUVIT)</w:t>
      </w:r>
    </w:p>
    <w:p w:rsidR="00383223" w:rsidRPr="00942DF1" w:rsidRDefault="00383223" w:rsidP="00383223">
      <w:pPr>
        <w:rPr>
          <w:lang w:val="en-US"/>
        </w:rPr>
      </w:pPr>
      <w:r>
        <w:t xml:space="preserve">   </w:t>
      </w:r>
      <w:r w:rsidRPr="00942DF1">
        <w:rPr>
          <w:lang w:val="en-US"/>
        </w:rPr>
        <w:t xml:space="preserve">Armitt, Lucie, </w:t>
      </w:r>
      <w:r w:rsidRPr="00942DF1">
        <w:rPr>
          <w:i/>
          <w:lang w:val="en-US"/>
        </w:rPr>
        <w:t>Fantasy Fiction: An Introduction</w:t>
      </w:r>
      <w:r w:rsidRPr="00942DF1">
        <w:rPr>
          <w:lang w:val="en-US"/>
        </w:rPr>
        <w:t xml:space="preserve">, New York: Continuum, 2005, s. 193–211 (19 s.) </w:t>
      </w:r>
    </w:p>
    <w:p w:rsidR="00383223" w:rsidRDefault="00383223" w:rsidP="00383223">
      <w:r w:rsidRPr="00942DF1">
        <w:rPr>
          <w:lang w:val="en-US"/>
        </w:rPr>
        <w:t xml:space="preserve">   Bruijn, Annette de, ”’Never do what your mother tells you to do’. Nonsense and the inter-rogative function in Annie M. G. Schmidt’s children’s poetry”, </w:t>
      </w:r>
      <w:r w:rsidRPr="00942DF1">
        <w:rPr>
          <w:i/>
          <w:lang w:val="en-US"/>
        </w:rPr>
        <w:t xml:space="preserve">Bookbird. </w:t>
      </w:r>
      <w:r w:rsidRPr="006E51D6">
        <w:rPr>
          <w:i/>
        </w:rPr>
        <w:t>Literature for children and young people</w:t>
      </w:r>
      <w:r>
        <w:t xml:space="preserve"> 53:3, 2015, s. 20–27 (8 s.)</w:t>
      </w:r>
      <w:r w:rsidR="005457B5">
        <w:t xml:space="preserve"> (LUVIT)</w:t>
      </w:r>
    </w:p>
    <w:p w:rsidR="00383223" w:rsidRDefault="00383223" w:rsidP="00383223">
      <w:r>
        <w:t xml:space="preserve">   Edström, Vivi, ”Mio, min Mio – flaskpost och eldflamma” i förf:s </w:t>
      </w:r>
      <w:r w:rsidRPr="00625CFD">
        <w:rPr>
          <w:i/>
        </w:rPr>
        <w:t>Astrid Lindgren – vild</w:t>
      </w:r>
      <w:r>
        <w:rPr>
          <w:i/>
        </w:rPr>
        <w:t>-</w:t>
      </w:r>
      <w:r w:rsidRPr="00625CFD">
        <w:rPr>
          <w:i/>
        </w:rPr>
        <w:t>toring och lägereld</w:t>
      </w:r>
      <w:r>
        <w:t>, Stockholm 1992, s. 166–221 (56 s.)</w:t>
      </w:r>
    </w:p>
    <w:p w:rsidR="00383223" w:rsidRDefault="00383223" w:rsidP="00383223">
      <w:r>
        <w:t xml:space="preserve">   Ernst, Nina, </w:t>
      </w:r>
      <w:r>
        <w:rPr>
          <w:i/>
        </w:rPr>
        <w:t>Att teckna sitt jag: Grafiska självbiografier i Sverige</w:t>
      </w:r>
      <w:r>
        <w:t>, Malmö: Apart förlag, 2017, s. 79–137 (59 s.)</w:t>
      </w:r>
    </w:p>
    <w:p w:rsidR="00383223" w:rsidRDefault="00383223" w:rsidP="00383223">
      <w:r>
        <w:t xml:space="preserve">   Fareld, Victoria, ”Till kritiken av filosofins adultocentrism”, </w:t>
      </w:r>
      <w:r w:rsidRPr="009B5482">
        <w:rPr>
          <w:i/>
        </w:rPr>
        <w:t>Upplysningskritik. Till Bosse Holmqvist</w:t>
      </w:r>
      <w:r>
        <w:t>, red. Anders Burman &amp; Inga Sanner, Stockholm &amp; Höör 2014, s. 54–63 (10 s.) (LUVIT)</w:t>
      </w:r>
    </w:p>
    <w:p w:rsidR="00D43CE9" w:rsidRPr="00942DF1" w:rsidRDefault="00D43CE9" w:rsidP="00383223">
      <w:pPr>
        <w:rPr>
          <w:lang w:val="en-US"/>
        </w:rPr>
      </w:pPr>
      <w:r>
        <w:t xml:space="preserve">   </w:t>
      </w:r>
      <w:r w:rsidRPr="00942DF1">
        <w:rPr>
          <w:lang w:val="en-US"/>
        </w:rPr>
        <w:t xml:space="preserve">Flynn, Simon, ”Animal Stories”, </w:t>
      </w:r>
      <w:r w:rsidRPr="00942DF1">
        <w:rPr>
          <w:i/>
          <w:lang w:val="en-US"/>
        </w:rPr>
        <w:t>International Companion Encyclopedia of Children’s Literature</w:t>
      </w:r>
      <w:r w:rsidRPr="00942DF1">
        <w:rPr>
          <w:lang w:val="en-US"/>
        </w:rPr>
        <w:t xml:space="preserve"> I, red. Peter Hunt, 2:a uppl., London &amp; New York 2004, s. 418–435 (18 s.) (LUVIT)</w:t>
      </w:r>
    </w:p>
    <w:p w:rsidR="00383223" w:rsidRPr="006E6E05" w:rsidRDefault="00383223" w:rsidP="00D43CE9">
      <w:r w:rsidRPr="00942DF1">
        <w:rPr>
          <w:lang w:val="en-US"/>
        </w:rPr>
        <w:t xml:space="preserve">   </w:t>
      </w:r>
      <w:r>
        <w:t xml:space="preserve">Genette, Gérard, ”Den allvarsamma parodin”, </w:t>
      </w:r>
      <w:r w:rsidRPr="008237C8">
        <w:rPr>
          <w:i/>
        </w:rPr>
        <w:t>Ord &amp; Bild</w:t>
      </w:r>
      <w:r>
        <w:t xml:space="preserve"> 1990:3, s. 19–26 (8 s.) (LUVIT)</w:t>
      </w:r>
    </w:p>
    <w:p w:rsidR="00383223" w:rsidRDefault="00383223" w:rsidP="00383223">
      <w:r>
        <w:t xml:space="preserve">   </w:t>
      </w:r>
      <w:r w:rsidRPr="00052A84">
        <w:t>Lund</w:t>
      </w:r>
      <w:r>
        <w:t xml:space="preserve">, </w:t>
      </w:r>
      <w:r w:rsidRPr="00052A84">
        <w:t>Hans, ”Medier i samspel</w:t>
      </w:r>
      <w:r>
        <w:t xml:space="preserve">”, </w:t>
      </w:r>
      <w:r>
        <w:rPr>
          <w:i/>
        </w:rPr>
        <w:t xml:space="preserve">Intermedialitet: Ord, bild och ton i </w:t>
      </w:r>
      <w:r w:rsidRPr="008C0E2B">
        <w:rPr>
          <w:i/>
        </w:rPr>
        <w:t>samspel</w:t>
      </w:r>
      <w:r>
        <w:t>, red. Hans Lund, Lund: Studentlitteratur 2002, s. 9–22 (14 s.)</w:t>
      </w:r>
      <w:r w:rsidR="005457B5">
        <w:t xml:space="preserve"> (LUVIT)</w:t>
      </w:r>
    </w:p>
    <w:p w:rsidR="008C1F1B" w:rsidRDefault="008C1F1B" w:rsidP="008C1F1B">
      <w:r>
        <w:t xml:space="preserve">   Nikolajeva, Maria, </w:t>
      </w:r>
      <w:r w:rsidRPr="00303600">
        <w:rPr>
          <w:i/>
        </w:rPr>
        <w:t>Barnbokens byggklossar</w:t>
      </w:r>
      <w:r>
        <w:t>, 3:e uppl., Lund 2017, s. 63–344 (282 s.)</w:t>
      </w:r>
    </w:p>
    <w:p w:rsidR="00C63935" w:rsidRDefault="00C63935" w:rsidP="008C1F1B">
      <w:r>
        <w:t xml:space="preserve">   Nilsson, Inger, </w:t>
      </w:r>
      <w:r w:rsidRPr="00E01E43">
        <w:rPr>
          <w:i/>
        </w:rPr>
        <w:t>Krakel Spektakel, hör hur det låter! Studier i Lennart Hellsings språkvärld</w:t>
      </w:r>
      <w:r>
        <w:t>, Kalmar 2001, s. 165–179 (15 s.) (LUVIT)</w:t>
      </w:r>
    </w:p>
    <w:p w:rsidR="00794A6B" w:rsidRDefault="00794A6B" w:rsidP="008C1F1B"/>
    <w:p w:rsidR="00794A6B" w:rsidRDefault="00794A6B" w:rsidP="008C1F1B"/>
    <w:p w:rsidR="00383223" w:rsidRPr="00942DF1" w:rsidRDefault="00383223" w:rsidP="00383223">
      <w:pPr>
        <w:widowControl w:val="0"/>
        <w:autoSpaceDE w:val="0"/>
        <w:autoSpaceDN w:val="0"/>
        <w:adjustRightInd w:val="0"/>
        <w:rPr>
          <w:rFonts w:cs="TimesNewRomanPSMT"/>
          <w:lang w:val="en-US" w:bidi="sv-SE"/>
        </w:rPr>
      </w:pPr>
      <w:r>
        <w:rPr>
          <w:rFonts w:cs="AdvPTimesB"/>
        </w:rPr>
        <w:lastRenderedPageBreak/>
        <w:t xml:space="preserve">   </w:t>
      </w:r>
      <w:r w:rsidRPr="00942DF1">
        <w:rPr>
          <w:rFonts w:cs="AdvPTimesB"/>
          <w:lang w:val="en-US"/>
        </w:rPr>
        <w:t xml:space="preserve">Pantaleo, Sylvia, ”Mutinous Fiction: Narrative and Illustrative Metalepsis in Three Post-modern Picturebooks”, </w:t>
      </w:r>
      <w:r w:rsidRPr="00942DF1">
        <w:rPr>
          <w:i/>
          <w:lang w:val="en-US"/>
        </w:rPr>
        <w:t>Children’s Literature in Education</w:t>
      </w:r>
      <w:r w:rsidRPr="00942DF1">
        <w:rPr>
          <w:lang w:val="en-US"/>
        </w:rPr>
        <w:t xml:space="preserve"> 41:1, 2010, s. 12–27 </w:t>
      </w:r>
      <w:r w:rsidRPr="00942DF1">
        <w:rPr>
          <w:rFonts w:cs="TimesNewRomanPSMT"/>
          <w:lang w:val="en-US" w:bidi="sv-SE"/>
        </w:rPr>
        <w:t>(16 s.)</w:t>
      </w:r>
      <w:r w:rsidR="005457B5" w:rsidRPr="00942DF1">
        <w:rPr>
          <w:rFonts w:cs="TimesNewRomanPSMT"/>
          <w:lang w:val="en-US" w:bidi="sv-SE"/>
        </w:rPr>
        <w:t xml:space="preserve"> </w:t>
      </w:r>
      <w:r w:rsidR="005457B5" w:rsidRPr="00942DF1">
        <w:rPr>
          <w:lang w:val="en-US"/>
        </w:rPr>
        <w:t>(LUVIT)</w:t>
      </w:r>
    </w:p>
    <w:p w:rsidR="00651E80" w:rsidRPr="00942DF1" w:rsidRDefault="00651E80" w:rsidP="00651E80">
      <w:pPr>
        <w:rPr>
          <w:lang w:val="en-US"/>
        </w:rPr>
      </w:pPr>
      <w:r w:rsidRPr="00942DF1">
        <w:rPr>
          <w:lang w:val="en-US"/>
        </w:rPr>
        <w:t xml:space="preserve">   Ratelle, Amy, ”Contact Zones, Becoming and the Wild Animal Body” i förf:s </w:t>
      </w:r>
      <w:r w:rsidRPr="00942DF1">
        <w:rPr>
          <w:i/>
          <w:lang w:val="en-US"/>
        </w:rPr>
        <w:t>Animality and Children’s Literature and Film</w:t>
      </w:r>
      <w:r w:rsidRPr="00942DF1">
        <w:rPr>
          <w:lang w:val="en-US"/>
        </w:rPr>
        <w:t>, New York 2015, s. 41–64 (24 s.)</w:t>
      </w:r>
    </w:p>
    <w:p w:rsidR="00651E80" w:rsidRPr="00C6467A" w:rsidRDefault="00651E80" w:rsidP="00651E80">
      <w:r w:rsidRPr="00942DF1">
        <w:rPr>
          <w:lang w:val="en-US"/>
        </w:rPr>
        <w:t xml:space="preserve">   Todres, Jonathan &amp; Sarah Higinbotham, ”Identity Rights and Family Rights” i förf:s </w:t>
      </w:r>
      <w:r w:rsidRPr="00942DF1">
        <w:rPr>
          <w:i/>
          <w:lang w:val="en-US"/>
        </w:rPr>
        <w:t>Human Rights in Children’s Literature: Imagination and the Narrative of Law</w:t>
      </w:r>
      <w:r w:rsidRPr="00942DF1">
        <w:rPr>
          <w:lang w:val="en-US"/>
        </w:rPr>
        <w:t xml:space="preserve">, Oxford 2016, s. 91–115 </w:t>
      </w:r>
      <w:r w:rsidR="0018741B" w:rsidRPr="00942DF1">
        <w:rPr>
          <w:lang w:val="en-US"/>
        </w:rPr>
        <w:t xml:space="preserve">(25 s.) </w:t>
      </w:r>
      <w:r w:rsidRPr="00C6467A">
        <w:t>(LUB: e-bok)</w:t>
      </w:r>
    </w:p>
    <w:p w:rsidR="00383223" w:rsidRDefault="00383223" w:rsidP="00383223">
      <w:r>
        <w:t xml:space="preserve">   Welander, Mia, ”Ungdomars möte med fantasy – en förödande eskapism? En personlig betra</w:t>
      </w:r>
      <w:r w:rsidR="0062427A">
        <w:t xml:space="preserve">ktelse av en fantasyläsare?”, </w:t>
      </w:r>
      <w:r>
        <w:rPr>
          <w:i/>
        </w:rPr>
        <w:t xml:space="preserve">Ett trollspö på katedern: Att arbeta med fantasy i </w:t>
      </w:r>
      <w:r w:rsidRPr="00394E5E">
        <w:rPr>
          <w:i/>
        </w:rPr>
        <w:t>skolan</w:t>
      </w:r>
      <w:r w:rsidR="008C1F1B">
        <w:t>, red. Helene Ehriander &amp;</w:t>
      </w:r>
      <w:r>
        <w:t xml:space="preserve"> Maria Nilson, Lund: BTJ förlag, </w:t>
      </w:r>
      <w:r w:rsidR="005457B5">
        <w:t xml:space="preserve">2012, </w:t>
      </w:r>
      <w:r>
        <w:t>s.</w:t>
      </w:r>
      <w:r>
        <w:rPr>
          <w:i/>
        </w:rPr>
        <w:t xml:space="preserve"> </w:t>
      </w:r>
      <w:r w:rsidRPr="00394E5E">
        <w:t>178</w:t>
      </w:r>
      <w:r w:rsidR="008C1F1B">
        <w:t>–192</w:t>
      </w:r>
      <w:r>
        <w:t xml:space="preserve"> (15 s.)</w:t>
      </w:r>
      <w:r w:rsidR="005457B5">
        <w:t xml:space="preserve"> (LUVIT)</w:t>
      </w:r>
    </w:p>
    <w:p w:rsidR="0018741B" w:rsidRPr="0018741B" w:rsidRDefault="0018741B" w:rsidP="0018741B">
      <w:r w:rsidRPr="00C6467A">
        <w:t xml:space="preserve">   Widhe, Olle, ”Slåss mot orättvisor</w:t>
      </w:r>
      <w:r>
        <w:t xml:space="preserve">. Katarina Taikon och föreställningen om barnets rättig-heter runt 1968”, </w:t>
      </w:r>
      <w:r w:rsidRPr="00625CFD">
        <w:rPr>
          <w:i/>
        </w:rPr>
        <w:t>Barnboken – tidskrift för barnlit</w:t>
      </w:r>
      <w:r>
        <w:rPr>
          <w:i/>
        </w:rPr>
        <w:t>t</w:t>
      </w:r>
      <w:r w:rsidRPr="00625CFD">
        <w:rPr>
          <w:i/>
        </w:rPr>
        <w:t>eraturforskning</w:t>
      </w:r>
      <w:r>
        <w:t xml:space="preserve"> 41, 2018, s. 1–19 (19 s.) (digitalt tillgänglig via </w:t>
      </w:r>
      <w:r w:rsidRPr="00625CFD">
        <w:rPr>
          <w:i/>
        </w:rPr>
        <w:t>Barnboken</w:t>
      </w:r>
      <w:r>
        <w:t>)</w:t>
      </w:r>
    </w:p>
    <w:p w:rsidR="00383223" w:rsidRDefault="008C1F1B" w:rsidP="00383223">
      <w:r>
        <w:t xml:space="preserve">   </w:t>
      </w:r>
      <w:r w:rsidR="00383223">
        <w:t xml:space="preserve">Österholm, Maria Margareta, </w:t>
      </w:r>
      <w:r w:rsidR="00383223">
        <w:rPr>
          <w:i/>
        </w:rPr>
        <w:t>Ett flicklaboratorium i valda bitar: skeva flickor i svensk</w:t>
      </w:r>
      <w:r>
        <w:rPr>
          <w:i/>
        </w:rPr>
        <w:t>-</w:t>
      </w:r>
      <w:r w:rsidR="00383223">
        <w:rPr>
          <w:i/>
        </w:rPr>
        <w:t>språkig prosa från 1980 till 2005</w:t>
      </w:r>
      <w:r w:rsidR="00383223">
        <w:t>, Årsta: Rosenlarv förlag, 2012, s. 53</w:t>
      </w:r>
      <w:r>
        <w:t>–</w:t>
      </w:r>
      <w:r w:rsidR="00383223">
        <w:t>58, 99</w:t>
      </w:r>
      <w:r>
        <w:t>–117</w:t>
      </w:r>
      <w:r w:rsidR="00383223">
        <w:t xml:space="preserve"> (25 s.)</w:t>
      </w:r>
    </w:p>
    <w:p w:rsidR="00383223" w:rsidRPr="00383223" w:rsidRDefault="008C1F1B" w:rsidP="008C1F1B">
      <w:pPr>
        <w:widowControl w:val="0"/>
        <w:autoSpaceDE w:val="0"/>
        <w:autoSpaceDN w:val="0"/>
        <w:adjustRightInd w:val="0"/>
        <w:rPr>
          <w:rFonts w:cs="TimesNewRomanPSMT"/>
          <w:lang w:bidi="sv-SE"/>
        </w:rPr>
      </w:pPr>
      <w:r>
        <w:rPr>
          <w:rFonts w:cs="TimesNewRomanPSMT"/>
          <w:lang w:bidi="sv-SE"/>
        </w:rPr>
        <w:t xml:space="preserve">   </w:t>
      </w:r>
      <w:r w:rsidR="00383223">
        <w:rPr>
          <w:rFonts w:cs="TimesNewRomanPSMT"/>
          <w:lang w:bidi="sv-SE"/>
        </w:rPr>
        <w:t>Österlund, Mia, ”’Rumpan är stor, men byxan är trång’. Bilderbo</w:t>
      </w:r>
      <w:r w:rsidR="0062427A">
        <w:rPr>
          <w:rFonts w:cs="TimesNewRomanPSMT"/>
          <w:lang w:bidi="sv-SE"/>
        </w:rPr>
        <w:t>ken ur fettstudie</w:t>
      </w:r>
      <w:r>
        <w:rPr>
          <w:rFonts w:cs="TimesNewRomanPSMT"/>
          <w:lang w:bidi="sv-SE"/>
        </w:rPr>
        <w:t>perspek</w:t>
      </w:r>
      <w:r w:rsidR="0062427A">
        <w:rPr>
          <w:rFonts w:cs="TimesNewRomanPSMT"/>
          <w:lang w:bidi="sv-SE"/>
        </w:rPr>
        <w:t>-</w:t>
      </w:r>
      <w:r>
        <w:rPr>
          <w:rFonts w:cs="TimesNewRomanPSMT"/>
          <w:lang w:bidi="sv-SE"/>
        </w:rPr>
        <w:t xml:space="preserve">tiv”, </w:t>
      </w:r>
      <w:r w:rsidR="00383223">
        <w:rPr>
          <w:rFonts w:cs="TimesNewRomanPSMT"/>
          <w:i/>
          <w:lang w:bidi="sv-SE"/>
        </w:rPr>
        <w:t>Barnnorm och kroppsform: Om ideal och sexualitet i barnkulturen</w:t>
      </w:r>
      <w:r w:rsidR="00383223">
        <w:rPr>
          <w:rFonts w:cs="TimesNewRomanPSMT"/>
          <w:lang w:bidi="sv-SE"/>
        </w:rPr>
        <w:t>, red. Malena Janson, Stockholm: Centrum för barnkulturforskning vid Stockholms universitet, 2019, s. 111</w:t>
      </w:r>
      <w:r>
        <w:t>–</w:t>
      </w:r>
      <w:r>
        <w:rPr>
          <w:rFonts w:cs="TimesNewRomanPSMT"/>
          <w:lang w:bidi="sv-SE"/>
        </w:rPr>
        <w:t>126</w:t>
      </w:r>
      <w:r w:rsidR="00383223">
        <w:rPr>
          <w:rFonts w:cs="TimesNewRomanPSMT"/>
          <w:lang w:bidi="sv-SE"/>
        </w:rPr>
        <w:t xml:space="preserve"> (16 s.)</w:t>
      </w:r>
      <w:r w:rsidR="005457B5">
        <w:rPr>
          <w:rFonts w:cs="TimesNewRomanPSMT"/>
          <w:lang w:bidi="sv-SE"/>
        </w:rPr>
        <w:t xml:space="preserve"> </w:t>
      </w:r>
      <w:r w:rsidR="005457B5">
        <w:t>(LUVIT)</w:t>
      </w:r>
    </w:p>
    <w:sectPr w:rsidR="00383223" w:rsidRPr="003832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1" w:rsidRDefault="002A5E91" w:rsidP="00C63935">
      <w:r>
        <w:separator/>
      </w:r>
    </w:p>
  </w:endnote>
  <w:endnote w:type="continuationSeparator" w:id="0">
    <w:p w:rsidR="002A5E91" w:rsidRDefault="002A5E91" w:rsidP="00C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PTimes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94219"/>
      <w:docPartObj>
        <w:docPartGallery w:val="Page Numbers (Bottom of Page)"/>
        <w:docPartUnique/>
      </w:docPartObj>
    </w:sdtPr>
    <w:sdtEndPr/>
    <w:sdtContent>
      <w:p w:rsidR="00C63935" w:rsidRDefault="00C6393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2A">
          <w:rPr>
            <w:noProof/>
          </w:rPr>
          <w:t>2</w:t>
        </w:r>
        <w:r>
          <w:fldChar w:fldCharType="end"/>
        </w:r>
      </w:p>
    </w:sdtContent>
  </w:sdt>
  <w:p w:rsidR="00C63935" w:rsidRDefault="00C639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1" w:rsidRDefault="002A5E91" w:rsidP="00C63935">
      <w:r>
        <w:separator/>
      </w:r>
    </w:p>
  </w:footnote>
  <w:footnote w:type="continuationSeparator" w:id="0">
    <w:p w:rsidR="002A5E91" w:rsidRDefault="002A5E91" w:rsidP="00C6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D"/>
    <w:rsid w:val="001276CD"/>
    <w:rsid w:val="0018741B"/>
    <w:rsid w:val="001B614B"/>
    <w:rsid w:val="002A15BE"/>
    <w:rsid w:val="002A5E91"/>
    <w:rsid w:val="00303600"/>
    <w:rsid w:val="00380970"/>
    <w:rsid w:val="00383223"/>
    <w:rsid w:val="00384B2E"/>
    <w:rsid w:val="003A43FE"/>
    <w:rsid w:val="003E322F"/>
    <w:rsid w:val="004A2549"/>
    <w:rsid w:val="00505B2A"/>
    <w:rsid w:val="005457B5"/>
    <w:rsid w:val="0062427A"/>
    <w:rsid w:val="00625CFD"/>
    <w:rsid w:val="00651E80"/>
    <w:rsid w:val="0065617A"/>
    <w:rsid w:val="006909DA"/>
    <w:rsid w:val="006E51D6"/>
    <w:rsid w:val="006E6E05"/>
    <w:rsid w:val="0070728A"/>
    <w:rsid w:val="00755C11"/>
    <w:rsid w:val="007834F1"/>
    <w:rsid w:val="00794A6B"/>
    <w:rsid w:val="008077CA"/>
    <w:rsid w:val="008237C8"/>
    <w:rsid w:val="008A4B0F"/>
    <w:rsid w:val="008C1F1B"/>
    <w:rsid w:val="00942DF1"/>
    <w:rsid w:val="00950732"/>
    <w:rsid w:val="00962D8D"/>
    <w:rsid w:val="009B5482"/>
    <w:rsid w:val="00A048B0"/>
    <w:rsid w:val="00A843F7"/>
    <w:rsid w:val="00B22B3E"/>
    <w:rsid w:val="00B520FB"/>
    <w:rsid w:val="00B5381D"/>
    <w:rsid w:val="00C63935"/>
    <w:rsid w:val="00C6467A"/>
    <w:rsid w:val="00CC5857"/>
    <w:rsid w:val="00CE113B"/>
    <w:rsid w:val="00D43CE9"/>
    <w:rsid w:val="00D54030"/>
    <w:rsid w:val="00DA4C75"/>
    <w:rsid w:val="00DF4DAD"/>
    <w:rsid w:val="00E87ACB"/>
    <w:rsid w:val="00F208CE"/>
    <w:rsid w:val="00F36DEA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7261-0C73-45CF-B7BA-79D66BB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E3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D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Zillén</dc:creator>
  <cp:keywords/>
  <dc:description/>
  <cp:lastModifiedBy>Helena Nilsson</cp:lastModifiedBy>
  <cp:revision>2</cp:revision>
  <cp:lastPrinted>2019-05-23T12:21:00Z</cp:lastPrinted>
  <dcterms:created xsi:type="dcterms:W3CDTF">2019-06-10T11:03:00Z</dcterms:created>
  <dcterms:modified xsi:type="dcterms:W3CDTF">2019-06-10T11:03:00Z</dcterms:modified>
</cp:coreProperties>
</file>