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61F7C156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280215">
        <w:rPr>
          <w:lang w:val="sv-SE"/>
        </w:rPr>
        <w:t>modevetenskap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538DBE1D" w:rsidR="00705814" w:rsidRPr="000B7AA0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="00280215" w:rsidRPr="00914252">
        <w:rPr>
          <w:bCs/>
          <w:lang w:val="sv-SE"/>
        </w:rPr>
        <w:t>Modevetenskap: G</w:t>
      </w:r>
      <w:r w:rsidR="00280215" w:rsidRPr="00280215">
        <w:rPr>
          <w:b w:val="0"/>
          <w:bCs/>
          <w:lang w:val="sv-SE"/>
        </w:rPr>
        <w:t>r</w:t>
      </w:r>
      <w:r w:rsidR="00280215" w:rsidRPr="00914252">
        <w:rPr>
          <w:bCs/>
          <w:lang w:val="sv-SE"/>
        </w:rPr>
        <w:t xml:space="preserve">undläggande filosofiska och vetenskapliga </w:t>
      </w:r>
      <w:r w:rsidR="00280215" w:rsidRPr="000B7AA0">
        <w:rPr>
          <w:bCs/>
          <w:lang w:val="sv-SE"/>
        </w:rPr>
        <w:t>perspektiv</w:t>
      </w:r>
      <w:r w:rsidRPr="000B7AA0">
        <w:rPr>
          <w:lang w:val="sv-SE"/>
        </w:rPr>
        <w:t xml:space="preserve"> </w:t>
      </w:r>
      <w:r w:rsidR="000B7AA0" w:rsidRPr="000B7AA0">
        <w:rPr>
          <w:lang w:val="sv-SE"/>
        </w:rPr>
        <w:t xml:space="preserve">(MODA25), </w:t>
      </w:r>
      <w:r w:rsidR="00280215" w:rsidRPr="000B7AA0">
        <w:rPr>
          <w:lang w:val="sv-SE"/>
        </w:rPr>
        <w:t>7,5</w:t>
      </w:r>
      <w:r w:rsidRPr="000B7AA0">
        <w:rPr>
          <w:lang w:val="sv-SE"/>
        </w:rPr>
        <w:t xml:space="preserve"> hp, VT</w:t>
      </w:r>
      <w:r w:rsidR="00A76080" w:rsidRPr="000B7AA0">
        <w:rPr>
          <w:lang w:val="sv-SE"/>
        </w:rPr>
        <w:t xml:space="preserve"> 20</w:t>
      </w:r>
      <w:r w:rsidR="00280215" w:rsidRPr="000B7AA0">
        <w:rPr>
          <w:lang w:val="sv-SE"/>
        </w:rPr>
        <w:t>2</w:t>
      </w:r>
      <w:r w:rsidR="007926C5">
        <w:rPr>
          <w:lang w:val="sv-SE"/>
        </w:rPr>
        <w:t>6</w:t>
      </w:r>
    </w:p>
    <w:p w14:paraId="1258690B" w14:textId="06F440E5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</w:t>
      </w: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motsvarande, 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280215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12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280215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10-05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280215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23</w:t>
      </w:r>
      <w:r w:rsidR="002C72A3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280215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</w:t>
      </w:r>
      <w:r w:rsidR="002C72A3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280215" w:rsidRP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17</w:t>
      </w:r>
      <w:r w:rsidR="000B7AA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och 2024-12-04.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77777777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>Litteraturen söks i LUBcat och/eller LUBsearch om inget annat anges.</w:t>
      </w:r>
    </w:p>
    <w:p w14:paraId="13FC1F67" w14:textId="77777777" w:rsidR="00CA3BA7" w:rsidRDefault="00CA3BA7" w:rsidP="00CA3BA7">
      <w:pPr>
        <w:pStyle w:val="Brdtext"/>
        <w:rPr>
          <w:lang w:val="sv-SE"/>
        </w:rPr>
      </w:pPr>
    </w:p>
    <w:p w14:paraId="1504161E" w14:textId="77777777" w:rsidR="007A31A0" w:rsidRPr="007A31A0" w:rsidRDefault="007A31A0" w:rsidP="007A31A0">
      <w:pPr>
        <w:rPr>
          <w:rFonts w:ascii="Times New Roman" w:hAnsi="Times New Roman"/>
          <w:sz w:val="24"/>
          <w:szCs w:val="24"/>
          <w:lang w:val="sv-SE"/>
        </w:rPr>
      </w:pPr>
    </w:p>
    <w:p w14:paraId="242802FF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b/>
          <w:bCs/>
          <w:lang w:val="sv-SE"/>
        </w:rPr>
        <w:t xml:space="preserve">All listad litteratur är obligatorisk </w:t>
      </w:r>
    </w:p>
    <w:p w14:paraId="2E07ABAE" w14:textId="77777777" w:rsidR="00280215" w:rsidRPr="00914252" w:rsidRDefault="00280215" w:rsidP="00280215">
      <w:pPr>
        <w:spacing w:after="160" w:line="259" w:lineRule="auto"/>
        <w:rPr>
          <w:lang w:val="en-US"/>
        </w:rPr>
      </w:pPr>
      <w:r w:rsidRPr="00914252">
        <w:rPr>
          <w:lang w:val="sv-SE"/>
        </w:rPr>
        <w:t xml:space="preserve">Barry, Ben (2018). </w:t>
      </w:r>
      <w:r w:rsidRPr="00914252">
        <w:rPr>
          <w:lang w:val="en-US"/>
        </w:rPr>
        <w:t xml:space="preserve">“(Re)fashioning masculinity” I </w:t>
      </w:r>
      <w:r w:rsidRPr="00914252">
        <w:rPr>
          <w:i/>
          <w:iCs/>
          <w:lang w:val="en-US"/>
        </w:rPr>
        <w:t>Gender and Society</w:t>
      </w:r>
      <w:r w:rsidRPr="00914252">
        <w:rPr>
          <w:lang w:val="en-US"/>
        </w:rPr>
        <w:t xml:space="preserve">, Vol. 32, nr 5. (s. 638-662. 24 s.) </w:t>
      </w:r>
    </w:p>
    <w:p w14:paraId="77521124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en-US"/>
        </w:rPr>
        <w:t xml:space="preserve">Bell, Quentin (1976). </w:t>
      </w:r>
      <w:r w:rsidRPr="00914252">
        <w:rPr>
          <w:i/>
          <w:iCs/>
          <w:lang w:val="en-US"/>
        </w:rPr>
        <w:t>On human finery. The classic study of fashion through the ages</w:t>
      </w:r>
      <w:r w:rsidRPr="00914252">
        <w:rPr>
          <w:lang w:val="en-US"/>
        </w:rPr>
        <w:t xml:space="preserve">. London: Allison &amp; Busby, ISBN 0-7490-0094-5. Läs kapitlet “Theories of fashion” (ss. 90–106. </w:t>
      </w:r>
      <w:r w:rsidRPr="00914252">
        <w:rPr>
          <w:lang w:val="sv-SE"/>
        </w:rPr>
        <w:t xml:space="preserve">16 s.) </w:t>
      </w:r>
    </w:p>
    <w:p w14:paraId="2268979A" w14:textId="538710C4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t>Berger Arthur, Asa (1999)</w:t>
      </w:r>
      <w:r w:rsidR="00323793">
        <w:rPr>
          <w:lang w:val="sv-SE"/>
        </w:rPr>
        <w:t>.</w:t>
      </w:r>
      <w:r w:rsidRPr="00914252">
        <w:rPr>
          <w:lang w:val="sv-SE"/>
        </w:rPr>
        <w:t xml:space="preserve"> </w:t>
      </w:r>
      <w:r w:rsidRPr="00914252">
        <w:rPr>
          <w:i/>
          <w:iCs/>
          <w:lang w:val="sv-SE"/>
        </w:rPr>
        <w:t>Kulturstudier: nyckelbegrepp för nybörjare</w:t>
      </w:r>
      <w:r w:rsidRPr="00914252">
        <w:rPr>
          <w:lang w:val="sv-SE"/>
        </w:rPr>
        <w:t xml:space="preserve">. Lund: Studentlitteratur ISBN: 9789144006598. s. 23-38, 46-69 (37 s.) </w:t>
      </w:r>
    </w:p>
    <w:p w14:paraId="218CBCCC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t xml:space="preserve">Butler, Judith (2007). </w:t>
      </w:r>
      <w:r w:rsidRPr="00914252">
        <w:rPr>
          <w:i/>
          <w:iCs/>
          <w:lang w:val="sv-SE"/>
        </w:rPr>
        <w:t>Genustrubbel – feminism och identitetens subversion</w:t>
      </w:r>
      <w:r w:rsidRPr="00914252">
        <w:rPr>
          <w:lang w:val="sv-SE"/>
        </w:rPr>
        <w:t xml:space="preserve">, Göteborg: Daidalos ISBN 978-91-7173-248-4. s. 49-78, (29 s.) </w:t>
      </w:r>
    </w:p>
    <w:p w14:paraId="6C8F692F" w14:textId="2FA7CD98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en-US"/>
        </w:rPr>
        <w:t xml:space="preserve">Cahoone, Lawrence E. (2000). </w:t>
      </w:r>
      <w:r w:rsidRPr="00914252">
        <w:rPr>
          <w:i/>
          <w:iCs/>
          <w:lang w:val="en-US"/>
        </w:rPr>
        <w:t>From Modernism to Postmodernism: An Anthology</w:t>
      </w:r>
      <w:r w:rsidRPr="00914252">
        <w:rPr>
          <w:lang w:val="en-US"/>
        </w:rPr>
        <w:t xml:space="preserve">. Oxford: Blackwell Publishers. ISBN 1-55786-603-1. Läs kapitlen: "Marx &amp; Engels, Bourgeois and Proletarians", ss. 91- 101. ”Baudrillard: Symbolic Exchange and Death” ss. 437–460, ”Jameson: The Cultural Logic of Late Capitalism” s. 556–572. </w:t>
      </w:r>
      <w:r w:rsidRPr="00914252">
        <w:rPr>
          <w:lang w:val="sv-SE"/>
        </w:rPr>
        <w:t xml:space="preserve">(49 s.) </w:t>
      </w:r>
    </w:p>
    <w:p w14:paraId="5A267EC1" w14:textId="7690E4D6" w:rsidR="00280215" w:rsidRPr="000B7AA0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lastRenderedPageBreak/>
        <w:t xml:space="preserve">Connell, Raewyn W. (2008). </w:t>
      </w:r>
      <w:r w:rsidRPr="00914252">
        <w:rPr>
          <w:i/>
          <w:iCs/>
          <w:lang w:val="sv-SE"/>
        </w:rPr>
        <w:t xml:space="preserve">Maskuliniteter, </w:t>
      </w:r>
      <w:r w:rsidRPr="00914252">
        <w:rPr>
          <w:lang w:val="sv-SE"/>
        </w:rPr>
        <w:t>Göteborg: Daidalos ISBN 9789171732682. s. 109-125 (16 s)</w:t>
      </w:r>
    </w:p>
    <w:p w14:paraId="652ADB29" w14:textId="3D3F38B1" w:rsidR="00280215" w:rsidRPr="00914252" w:rsidRDefault="00280215" w:rsidP="00280215">
      <w:pPr>
        <w:spacing w:after="160" w:line="259" w:lineRule="auto"/>
        <w:rPr>
          <w:lang w:val="en-US"/>
        </w:rPr>
      </w:pPr>
      <w:r w:rsidRPr="00914252">
        <w:rPr>
          <w:lang w:val="en-US"/>
        </w:rPr>
        <w:t xml:space="preserve">Carter, Michael (2003). </w:t>
      </w:r>
      <w:r w:rsidRPr="00914252">
        <w:rPr>
          <w:i/>
          <w:iCs/>
          <w:lang w:val="en-US"/>
        </w:rPr>
        <w:t>Fashion classics from Carlyle to Barthes</w:t>
      </w:r>
      <w:r w:rsidRPr="00914252">
        <w:rPr>
          <w:lang w:val="en-US"/>
        </w:rPr>
        <w:t xml:space="preserve">. Oxford: Berg, ISBN, 91- 40-63486-8. Läs kapitlen ”Herbert Spencer’s sartorial protestantism”, ”Roland Barthes and the end of the nineteenth century” s. 19–39, 143–164 (41 s.) </w:t>
      </w:r>
    </w:p>
    <w:p w14:paraId="38269933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6A3229">
        <w:rPr>
          <w:lang w:val="sv-SE"/>
        </w:rPr>
        <w:t xml:space="preserve">Danius, Sara, Sjöholm, Cecilia &amp; Wallenstein, Sven-Olov (red.) </w:t>
      </w:r>
      <w:r w:rsidRPr="007926C5">
        <w:rPr>
          <w:lang w:val="sv-SE"/>
        </w:rPr>
        <w:t xml:space="preserve">(2012). </w:t>
      </w:r>
      <w:r w:rsidRPr="000B7AA0">
        <w:rPr>
          <w:i/>
          <w:iCs/>
          <w:lang w:val="sv-SE"/>
        </w:rPr>
        <w:t>Aisthesis. Estetikens historia</w:t>
      </w:r>
      <w:r w:rsidRPr="000B7AA0">
        <w:rPr>
          <w:lang w:val="sv-SE"/>
        </w:rPr>
        <w:t xml:space="preserve">, del 1 Stockholm: Thales, ISBN 9789172350908. </w:t>
      </w:r>
      <w:r w:rsidRPr="00914252">
        <w:rPr>
          <w:lang w:val="sv-SE"/>
        </w:rPr>
        <w:t xml:space="preserve">Läs avsnittet Georg Simmel ”Modets filosofi”. s. 508-533 (25 s.) </w:t>
      </w:r>
    </w:p>
    <w:p w14:paraId="3616EAC1" w14:textId="3833FB5F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t xml:space="preserve">Debord, Guy (2002). ”Fullständig uppdelning”, i </w:t>
      </w:r>
      <w:r w:rsidRPr="00914252">
        <w:rPr>
          <w:i/>
          <w:iCs/>
          <w:lang w:val="sv-SE"/>
        </w:rPr>
        <w:t>Skådespelssamhället</w:t>
      </w:r>
      <w:r w:rsidRPr="00914252">
        <w:rPr>
          <w:lang w:val="sv-SE"/>
        </w:rPr>
        <w:t xml:space="preserve">. Göteborg: Daidalos ISBN 9789171731401. (11 s.) Tillgänglig via länk: https://www.marxists.org/svenska/debord/1967/skadespelssamhallet/01.htm#h1 </w:t>
      </w:r>
    </w:p>
    <w:p w14:paraId="2838CF4C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t xml:space="preserve">Ek-Nilsson, K. (2016). "Det moderna och det postmoderna.", i </w:t>
      </w:r>
      <w:r w:rsidRPr="00914252">
        <w:rPr>
          <w:i/>
          <w:iCs/>
          <w:lang w:val="sv-SE"/>
        </w:rPr>
        <w:t xml:space="preserve">Nätverket </w:t>
      </w:r>
      <w:r w:rsidRPr="00914252">
        <w:rPr>
          <w:lang w:val="sv-SE"/>
        </w:rPr>
        <w:t xml:space="preserve">nr. 20, s. 8–13 (6 s.) </w:t>
      </w:r>
    </w:p>
    <w:p w14:paraId="267560A4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t xml:space="preserve">Flügel, John Carl (1951). </w:t>
      </w:r>
      <w:r w:rsidRPr="00914252">
        <w:rPr>
          <w:i/>
          <w:iCs/>
          <w:lang w:val="sv-SE"/>
        </w:rPr>
        <w:t>Klädernas psykologi</w:t>
      </w:r>
      <w:r w:rsidRPr="00914252">
        <w:rPr>
          <w:lang w:val="sv-SE"/>
        </w:rPr>
        <w:t xml:space="preserve">. Stockholm: Natur och kultur. ISBN saknas. Läs kapitlen ”Könsolikheter”, ”Modets växlingar” s. 94–112, 145–154 (27 s.) </w:t>
      </w:r>
    </w:p>
    <w:p w14:paraId="000938BE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t xml:space="preserve">Foucault, Michel (2002). </w:t>
      </w:r>
      <w:r w:rsidRPr="00914252">
        <w:rPr>
          <w:i/>
          <w:iCs/>
          <w:lang w:val="sv-SE"/>
        </w:rPr>
        <w:t xml:space="preserve">Sexualitetens historia. Viljan att veta, </w:t>
      </w:r>
      <w:r w:rsidRPr="00914252">
        <w:rPr>
          <w:lang w:val="sv-SE"/>
        </w:rPr>
        <w:t xml:space="preserve">band 1, Göteborg: Daidalos, ISBN 226:00. (s. 43-70, 27 s.) </w:t>
      </w:r>
    </w:p>
    <w:p w14:paraId="31352B11" w14:textId="01190726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t>Kjørup, Søren</w:t>
      </w:r>
      <w:r w:rsidR="00323793">
        <w:rPr>
          <w:lang w:val="sv-SE"/>
        </w:rPr>
        <w:t xml:space="preserve"> (2009).</w:t>
      </w:r>
      <w:r w:rsidRPr="00914252">
        <w:rPr>
          <w:i/>
          <w:iCs/>
          <w:lang w:val="sv-SE"/>
        </w:rPr>
        <w:t xml:space="preserve"> Människovetenskaperna: problem och traditioner i humanioras vetenskapsteori</w:t>
      </w:r>
      <w:r w:rsidRPr="00914252">
        <w:rPr>
          <w:lang w:val="sv-SE"/>
        </w:rPr>
        <w:t xml:space="preserve">, 2., [rev. och uppdaterade] uppl., Studentlitteratur, Lund, ISBN 9789144054124, s. 342-350 (8 s.) </w:t>
      </w:r>
    </w:p>
    <w:p w14:paraId="5FC1EC70" w14:textId="77777777" w:rsidR="00280215" w:rsidRPr="00914252" w:rsidRDefault="00280215" w:rsidP="00280215">
      <w:pPr>
        <w:spacing w:after="160" w:line="259" w:lineRule="auto"/>
        <w:rPr>
          <w:lang w:val="en-US"/>
        </w:rPr>
      </w:pPr>
      <w:r w:rsidRPr="00914252">
        <w:rPr>
          <w:lang w:val="sv-SE"/>
        </w:rPr>
        <w:t xml:space="preserve">Lykke, Nina, (2003). ”Intersektionalitet – ett användbart begrepp för genusforskningen”, Kvinnovetenskaplig tidskrift, nr 1, ISSN 0348-8365. s. 47-56. </w:t>
      </w:r>
      <w:r w:rsidRPr="00914252">
        <w:rPr>
          <w:lang w:val="en-US"/>
        </w:rPr>
        <w:t xml:space="preserve">(9 s.) </w:t>
      </w:r>
    </w:p>
    <w:p w14:paraId="2D98668C" w14:textId="59858C9C" w:rsidR="00280215" w:rsidRPr="00914252" w:rsidRDefault="00280215" w:rsidP="00280215">
      <w:pPr>
        <w:spacing w:after="160" w:line="259" w:lineRule="auto"/>
        <w:rPr>
          <w:lang w:val="en-US"/>
        </w:rPr>
      </w:pPr>
      <w:r w:rsidRPr="00914252">
        <w:rPr>
          <w:lang w:val="en-US"/>
        </w:rPr>
        <w:t>Lipovetsky, Gilles</w:t>
      </w:r>
      <w:r>
        <w:rPr>
          <w:lang w:val="en-US"/>
        </w:rPr>
        <w:t xml:space="preserve"> </w:t>
      </w:r>
      <w:r w:rsidRPr="00914252">
        <w:rPr>
          <w:lang w:val="en-US"/>
        </w:rPr>
        <w:t xml:space="preserve">(1994).  “The seduction of things“ Ingår i: </w:t>
      </w:r>
      <w:r w:rsidRPr="00914252">
        <w:rPr>
          <w:i/>
          <w:iCs/>
          <w:lang w:val="en-US"/>
        </w:rPr>
        <w:t>The empire of fashion: dressing modern democracy</w:t>
      </w:r>
      <w:r w:rsidRPr="00914252">
        <w:rPr>
          <w:lang w:val="en-US"/>
        </w:rPr>
        <w:t xml:space="preserve">. Princeton, N.J.: Princeton Univ. Press, ISBN 0-691-03373-0, s. 134-155 (21 s.) </w:t>
      </w:r>
    </w:p>
    <w:p w14:paraId="4AA2C4E0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7926C5">
        <w:rPr>
          <w:lang w:val="en-US"/>
        </w:rPr>
        <w:t xml:space="preserve">Nehls, E. (2023). </w:t>
      </w:r>
      <w:r w:rsidRPr="00914252">
        <w:rPr>
          <w:i/>
          <w:iCs/>
          <w:lang w:val="sv-SE"/>
        </w:rPr>
        <w:t>Teori: en introduktion</w:t>
      </w:r>
      <w:r w:rsidRPr="00914252">
        <w:rPr>
          <w:lang w:val="sv-SE"/>
        </w:rPr>
        <w:t xml:space="preserve">. (Upplaga 1). Lund: Studentlitteratur, s. 11-17, 23-37 (22 s.) </w:t>
      </w:r>
    </w:p>
    <w:p w14:paraId="622B11EE" w14:textId="7C629E08" w:rsidR="00280215" w:rsidRDefault="00280215" w:rsidP="00280215">
      <w:pPr>
        <w:spacing w:after="160" w:line="259" w:lineRule="auto"/>
        <w:rPr>
          <w:lang w:val="en-US"/>
        </w:rPr>
      </w:pPr>
      <w:r w:rsidRPr="00D43CBD">
        <w:rPr>
          <w:lang w:val="sv-SE"/>
        </w:rPr>
        <w:t xml:space="preserve">Rocamora, A. &amp; Smelik, A. (red.) </w:t>
      </w:r>
      <w:r w:rsidRPr="00914252">
        <w:rPr>
          <w:lang w:val="en-US"/>
        </w:rPr>
        <w:t xml:space="preserve">(2016). </w:t>
      </w:r>
      <w:r w:rsidRPr="00914252">
        <w:rPr>
          <w:i/>
          <w:iCs/>
          <w:lang w:val="en-US"/>
        </w:rPr>
        <w:t>Thinking through fashion: A guide to key theorists</w:t>
      </w:r>
      <w:r w:rsidRPr="00914252">
        <w:rPr>
          <w:lang w:val="en-US"/>
        </w:rPr>
        <w:t xml:space="preserve">. London: I.B. Tauris. ISBN: 9781780767345, s. 63-80, 28-45, 46-62, 81-96, 215-232 (310 s.) </w:t>
      </w:r>
    </w:p>
    <w:p w14:paraId="7952874B" w14:textId="1BC8BAA5" w:rsidR="00583E69" w:rsidRPr="00914252" w:rsidRDefault="00583E69" w:rsidP="00280215">
      <w:pPr>
        <w:spacing w:after="160" w:line="259" w:lineRule="auto"/>
        <w:rPr>
          <w:lang w:val="en-US"/>
        </w:rPr>
      </w:pPr>
      <w:r w:rsidRPr="000B7AA0">
        <w:t>Schippers, Mimi (2007).</w:t>
      </w:r>
      <w:r w:rsidRPr="00583E69">
        <w:t xml:space="preserve"> "Recovering the Feminine Other: Masculinity, Femininity, and Gender Hegemony", </w:t>
      </w:r>
      <w:r w:rsidRPr="00583E69">
        <w:rPr>
          <w:i/>
          <w:iCs/>
        </w:rPr>
        <w:t>Theory and Society</w:t>
      </w:r>
      <w:r w:rsidRPr="00583E69">
        <w:t>, Vol. 36, nr. 1. s. 85-102 (18 s.)</w:t>
      </w:r>
      <w:r w:rsidR="000B7AA0">
        <w:t xml:space="preserve"> </w:t>
      </w:r>
    </w:p>
    <w:p w14:paraId="295BD066" w14:textId="77777777" w:rsidR="00280215" w:rsidRPr="00914252" w:rsidRDefault="00280215" w:rsidP="00280215">
      <w:pPr>
        <w:spacing w:after="160" w:line="259" w:lineRule="auto"/>
        <w:rPr>
          <w:lang w:val="en-US"/>
        </w:rPr>
      </w:pPr>
      <w:r w:rsidRPr="00914252">
        <w:rPr>
          <w:lang w:val="en-US"/>
        </w:rPr>
        <w:lastRenderedPageBreak/>
        <w:t xml:space="preserve">Scott, W. Joan, (1986). ”Gender: A Useful Category of Historical Analysis”, </w:t>
      </w:r>
      <w:r w:rsidRPr="00914252">
        <w:rPr>
          <w:i/>
          <w:iCs/>
          <w:lang w:val="en-US"/>
        </w:rPr>
        <w:t>The American Historical Review</w:t>
      </w:r>
      <w:r w:rsidRPr="00914252">
        <w:rPr>
          <w:lang w:val="en-US"/>
        </w:rPr>
        <w:t xml:space="preserve">, Vol. 91, No. 5. ISSN 0002-8762, s. 1053-1075. (22 s.) </w:t>
      </w:r>
    </w:p>
    <w:p w14:paraId="425692F9" w14:textId="77777777" w:rsidR="00280215" w:rsidRPr="00914252" w:rsidRDefault="00280215" w:rsidP="00280215">
      <w:pPr>
        <w:spacing w:after="160" w:line="259" w:lineRule="auto"/>
        <w:rPr>
          <w:lang w:val="en-US"/>
        </w:rPr>
      </w:pPr>
      <w:r w:rsidRPr="00914252">
        <w:rPr>
          <w:lang w:val="en-US"/>
        </w:rPr>
        <w:t xml:space="preserve">Stokes, Allysson (2025). “The Glass Runway: How Gender and Sexuality Shape the Spotlight in Fashion Design”, </w:t>
      </w:r>
      <w:r w:rsidRPr="00914252">
        <w:rPr>
          <w:i/>
          <w:iCs/>
          <w:lang w:val="en-US"/>
        </w:rPr>
        <w:t xml:space="preserve">Gender &amp; Society </w:t>
      </w:r>
      <w:r w:rsidRPr="00914252">
        <w:rPr>
          <w:lang w:val="en-US"/>
        </w:rPr>
        <w:t xml:space="preserve">29(2), ISSN 08912432, s. 219-243 (24 s.) </w:t>
      </w:r>
    </w:p>
    <w:p w14:paraId="0E5143F6" w14:textId="5064AB4C" w:rsidR="00280215" w:rsidRPr="007926C5" w:rsidRDefault="00280215" w:rsidP="00280215">
      <w:pPr>
        <w:spacing w:after="160" w:line="259" w:lineRule="auto"/>
        <w:rPr>
          <w:lang w:val="en-US"/>
        </w:rPr>
      </w:pPr>
      <w:r w:rsidRPr="00914252">
        <w:rPr>
          <w:lang w:val="sv-SE"/>
        </w:rPr>
        <w:t>Warkander, Philip (2009). ”Att man går där och ser halvkvinnlig ut, kan ju vara ganska provocerande</w:t>
      </w:r>
      <w:r w:rsidR="000B7AA0">
        <w:rPr>
          <w:lang w:val="sv-SE"/>
        </w:rPr>
        <w:t>.</w:t>
      </w:r>
      <w:r w:rsidRPr="00914252">
        <w:rPr>
          <w:lang w:val="sv-SE"/>
        </w:rPr>
        <w:t xml:space="preserve"> Queer estetik och klubbliv i nutida Stockholm”, </w:t>
      </w:r>
      <w:r w:rsidRPr="00914252">
        <w:rPr>
          <w:i/>
          <w:iCs/>
          <w:lang w:val="sv-SE"/>
        </w:rPr>
        <w:t>Lambda Nordica</w:t>
      </w:r>
      <w:r w:rsidRPr="00914252">
        <w:rPr>
          <w:lang w:val="sv-SE"/>
        </w:rPr>
        <w:t xml:space="preserve">: </w:t>
      </w:r>
      <w:r w:rsidRPr="00914252">
        <w:rPr>
          <w:i/>
          <w:iCs/>
          <w:lang w:val="sv-SE"/>
        </w:rPr>
        <w:t>Tidskrift för homo/lesbisk/bi/transforskning</w:t>
      </w:r>
      <w:r w:rsidRPr="00914252">
        <w:rPr>
          <w:lang w:val="sv-SE"/>
        </w:rPr>
        <w:t>,</w:t>
      </w:r>
      <w:r w:rsidR="000B7AA0">
        <w:rPr>
          <w:lang w:val="sv-SE"/>
        </w:rPr>
        <w:t xml:space="preserve"> </w:t>
      </w:r>
      <w:r w:rsidRPr="00914252">
        <w:rPr>
          <w:lang w:val="sv-SE"/>
        </w:rPr>
        <w:t xml:space="preserve">3-4, ISSN 1100-2573, s. 24- 32. </w:t>
      </w:r>
      <w:r w:rsidRPr="007926C5">
        <w:rPr>
          <w:lang w:val="en-US"/>
        </w:rPr>
        <w:t xml:space="preserve">(8 s.) </w:t>
      </w:r>
    </w:p>
    <w:p w14:paraId="5EA8DE40" w14:textId="77777777" w:rsidR="00280215" w:rsidRPr="00914252" w:rsidRDefault="00280215" w:rsidP="00280215">
      <w:pPr>
        <w:spacing w:after="160" w:line="259" w:lineRule="auto"/>
        <w:rPr>
          <w:lang w:val="en-US"/>
        </w:rPr>
      </w:pPr>
      <w:r w:rsidRPr="00914252">
        <w:rPr>
          <w:lang w:val="en-US"/>
        </w:rPr>
        <w:t xml:space="preserve">Veblen, Thorstein (2007). </w:t>
      </w:r>
      <w:r w:rsidRPr="00914252">
        <w:rPr>
          <w:i/>
          <w:iCs/>
          <w:lang w:val="en-US"/>
        </w:rPr>
        <w:t>The theory of the leisure class</w:t>
      </w:r>
      <w:r w:rsidRPr="00914252">
        <w:rPr>
          <w:lang w:val="en-US"/>
        </w:rPr>
        <w:t xml:space="preserve">. New York: Oxford University Press. ISBN 978-0-19-280684-0. Läs kapitlet “Dress as an expression of pecuniary culture”, s. 111–124 (13 s.) </w:t>
      </w:r>
    </w:p>
    <w:p w14:paraId="0F632BB3" w14:textId="77777777" w:rsidR="00280215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en-US"/>
        </w:rPr>
        <w:t xml:space="preserve">Wilson, Elizabeth (2003). </w:t>
      </w:r>
      <w:r w:rsidRPr="00914252">
        <w:rPr>
          <w:i/>
          <w:iCs/>
          <w:lang w:val="en-US"/>
        </w:rPr>
        <w:t>Adorned in Dreams: fashion and modernity</w:t>
      </w:r>
      <w:r w:rsidRPr="00914252">
        <w:rPr>
          <w:lang w:val="en-US"/>
        </w:rPr>
        <w:t xml:space="preserve">, New York: I B Tauris, ISBN 978 86064 921 9. </w:t>
      </w:r>
      <w:r w:rsidRPr="00914252">
        <w:rPr>
          <w:lang w:val="sv-SE"/>
        </w:rPr>
        <w:t xml:space="preserve">Läs kapitlet ”Explaining it Away”, s. 47–66 (19 s.) </w:t>
      </w:r>
    </w:p>
    <w:p w14:paraId="0C75D58E" w14:textId="77777777" w:rsidR="00583E69" w:rsidRPr="00914252" w:rsidRDefault="00583E69" w:rsidP="00280215">
      <w:pPr>
        <w:spacing w:after="160" w:line="259" w:lineRule="auto"/>
        <w:rPr>
          <w:lang w:val="sv-SE"/>
        </w:rPr>
      </w:pPr>
    </w:p>
    <w:p w14:paraId="6A901B76" w14:textId="77777777" w:rsidR="00280215" w:rsidRPr="00914252" w:rsidRDefault="00280215" w:rsidP="00280215">
      <w:pPr>
        <w:spacing w:after="160" w:line="259" w:lineRule="auto"/>
        <w:rPr>
          <w:lang w:val="sv-SE"/>
        </w:rPr>
      </w:pPr>
      <w:r w:rsidRPr="00914252">
        <w:rPr>
          <w:lang w:val="sv-SE"/>
        </w:rPr>
        <w:t xml:space="preserve">Litteratur om ca 150 sidor kan tillkomma. </w:t>
      </w:r>
    </w:p>
    <w:p w14:paraId="357A68DE" w14:textId="08EA086E" w:rsidR="00280215" w:rsidRPr="00583E69" w:rsidRDefault="00280215" w:rsidP="00280215">
      <w:pPr>
        <w:rPr>
          <w:lang w:val="sv-SE"/>
        </w:rPr>
      </w:pPr>
      <w:r w:rsidRPr="00583E69">
        <w:rPr>
          <w:lang w:val="sv-SE"/>
        </w:rPr>
        <w:t>SUMMA: ca 75</w:t>
      </w:r>
      <w:r w:rsidR="00583E69" w:rsidRPr="00583E69">
        <w:rPr>
          <w:lang w:val="sv-SE"/>
        </w:rPr>
        <w:t>4</w:t>
      </w:r>
      <w:r w:rsidRPr="00583E69">
        <w:rPr>
          <w:lang w:val="sv-SE"/>
        </w:rPr>
        <w:t xml:space="preserve"> sidor.</w:t>
      </w:r>
    </w:p>
    <w:p w14:paraId="6E058FDA" w14:textId="77777777" w:rsidR="007A31A0" w:rsidRPr="00583E69" w:rsidRDefault="007A31A0" w:rsidP="007A31A0">
      <w:pPr>
        <w:rPr>
          <w:rFonts w:ascii="Times New Roman" w:hAnsi="Times New Roman"/>
          <w:sz w:val="24"/>
          <w:szCs w:val="24"/>
          <w:lang w:val="sv-SE"/>
        </w:rPr>
      </w:pPr>
    </w:p>
    <w:p w14:paraId="24C834CE" w14:textId="410C75ED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3D54" w14:textId="77777777" w:rsidR="001F1765" w:rsidRDefault="001F1765">
      <w:pPr>
        <w:spacing w:line="240" w:lineRule="auto"/>
      </w:pPr>
      <w:r>
        <w:separator/>
      </w:r>
    </w:p>
  </w:endnote>
  <w:endnote w:type="continuationSeparator" w:id="0">
    <w:p w14:paraId="509E4B14" w14:textId="77777777" w:rsidR="001F1765" w:rsidRDefault="001F1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59BD" w14:textId="77777777" w:rsidR="001F1765" w:rsidRDefault="001F1765">
      <w:pPr>
        <w:spacing w:line="240" w:lineRule="auto"/>
      </w:pPr>
      <w:r>
        <w:separator/>
      </w:r>
    </w:p>
  </w:footnote>
  <w:footnote w:type="continuationSeparator" w:id="0">
    <w:p w14:paraId="420DF3E0" w14:textId="77777777" w:rsidR="001F1765" w:rsidRDefault="001F1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BDD12CF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6A3229" w:rsidRPr="006A3229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6A3229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1C0BC303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200D5B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0297">
    <w:abstractNumId w:val="4"/>
  </w:num>
  <w:num w:numId="2" w16cid:durableId="331681456">
    <w:abstractNumId w:val="5"/>
  </w:num>
  <w:num w:numId="3" w16cid:durableId="125660950">
    <w:abstractNumId w:val="6"/>
  </w:num>
  <w:num w:numId="4" w16cid:durableId="1138302613">
    <w:abstractNumId w:val="7"/>
  </w:num>
  <w:num w:numId="5" w16cid:durableId="1079520134">
    <w:abstractNumId w:val="9"/>
  </w:num>
  <w:num w:numId="6" w16cid:durableId="1944338858">
    <w:abstractNumId w:val="0"/>
  </w:num>
  <w:num w:numId="7" w16cid:durableId="941767547">
    <w:abstractNumId w:val="1"/>
  </w:num>
  <w:num w:numId="8" w16cid:durableId="2137288355">
    <w:abstractNumId w:val="2"/>
  </w:num>
  <w:num w:numId="9" w16cid:durableId="949044701">
    <w:abstractNumId w:val="3"/>
  </w:num>
  <w:num w:numId="10" w16cid:durableId="1106579135">
    <w:abstractNumId w:val="8"/>
  </w:num>
  <w:num w:numId="11" w16cid:durableId="1432430023">
    <w:abstractNumId w:val="11"/>
  </w:num>
  <w:num w:numId="12" w16cid:durableId="548492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4144"/>
    <w:rsid w:val="000A6132"/>
    <w:rsid w:val="000B7AA0"/>
    <w:rsid w:val="000C359B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1F1765"/>
    <w:rsid w:val="00200D5B"/>
    <w:rsid w:val="00206681"/>
    <w:rsid w:val="00224155"/>
    <w:rsid w:val="00250F57"/>
    <w:rsid w:val="002755FD"/>
    <w:rsid w:val="00280215"/>
    <w:rsid w:val="002A1015"/>
    <w:rsid w:val="002A23D2"/>
    <w:rsid w:val="002A3A6E"/>
    <w:rsid w:val="002C55B1"/>
    <w:rsid w:val="002C72A3"/>
    <w:rsid w:val="002F4BE0"/>
    <w:rsid w:val="002F6FA2"/>
    <w:rsid w:val="00323793"/>
    <w:rsid w:val="003566F5"/>
    <w:rsid w:val="00377A3A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B0873"/>
    <w:rsid w:val="004B5FE7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83E69"/>
    <w:rsid w:val="005C5D79"/>
    <w:rsid w:val="005D0959"/>
    <w:rsid w:val="005F253D"/>
    <w:rsid w:val="00602E6C"/>
    <w:rsid w:val="0061546A"/>
    <w:rsid w:val="00660F93"/>
    <w:rsid w:val="00677566"/>
    <w:rsid w:val="006A0515"/>
    <w:rsid w:val="006A3229"/>
    <w:rsid w:val="006B33EA"/>
    <w:rsid w:val="006B7A52"/>
    <w:rsid w:val="00705814"/>
    <w:rsid w:val="00732BDC"/>
    <w:rsid w:val="00746C3F"/>
    <w:rsid w:val="00770CB7"/>
    <w:rsid w:val="007812DB"/>
    <w:rsid w:val="007926C5"/>
    <w:rsid w:val="007A31A0"/>
    <w:rsid w:val="0080655D"/>
    <w:rsid w:val="008336BB"/>
    <w:rsid w:val="00834203"/>
    <w:rsid w:val="00836107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9D7548"/>
    <w:rsid w:val="00A5672F"/>
    <w:rsid w:val="00A76080"/>
    <w:rsid w:val="00A825DC"/>
    <w:rsid w:val="00AA2FCF"/>
    <w:rsid w:val="00AE4910"/>
    <w:rsid w:val="00B25EB6"/>
    <w:rsid w:val="00B42469"/>
    <w:rsid w:val="00B714F9"/>
    <w:rsid w:val="00BA15B7"/>
    <w:rsid w:val="00BA167B"/>
    <w:rsid w:val="00BC4172"/>
    <w:rsid w:val="00BD57DA"/>
    <w:rsid w:val="00BF5F67"/>
    <w:rsid w:val="00C12C99"/>
    <w:rsid w:val="00C21235"/>
    <w:rsid w:val="00C27003"/>
    <w:rsid w:val="00C476C6"/>
    <w:rsid w:val="00C64372"/>
    <w:rsid w:val="00C92223"/>
    <w:rsid w:val="00CA3BA7"/>
    <w:rsid w:val="00CB789F"/>
    <w:rsid w:val="00CE4143"/>
    <w:rsid w:val="00CE4B94"/>
    <w:rsid w:val="00CF4D21"/>
    <w:rsid w:val="00D04772"/>
    <w:rsid w:val="00D07D53"/>
    <w:rsid w:val="00D134EE"/>
    <w:rsid w:val="00D143FB"/>
    <w:rsid w:val="00D17D2A"/>
    <w:rsid w:val="00D4332C"/>
    <w:rsid w:val="00D43CBD"/>
    <w:rsid w:val="00D6430B"/>
    <w:rsid w:val="00D90F13"/>
    <w:rsid w:val="00DC71B2"/>
    <w:rsid w:val="00E012CB"/>
    <w:rsid w:val="00E015CA"/>
    <w:rsid w:val="00E26A1B"/>
    <w:rsid w:val="00E53293"/>
    <w:rsid w:val="00E55AF5"/>
    <w:rsid w:val="00E84BC7"/>
    <w:rsid w:val="00E91616"/>
    <w:rsid w:val="00EA53C9"/>
    <w:rsid w:val="00EB2F83"/>
    <w:rsid w:val="00ED6DDE"/>
    <w:rsid w:val="00EF0125"/>
    <w:rsid w:val="00F53F5D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textlayer--absolute">
    <w:name w:val="textlayer--absolute"/>
    <w:basedOn w:val="Standardstycketeckensnitt"/>
    <w:rsid w:val="007A31A0"/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7A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8D85C-FC42-4075-9446-D402AE64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4491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3</cp:revision>
  <cp:lastPrinted>2024-12-06T09:34:00Z</cp:lastPrinted>
  <dcterms:created xsi:type="dcterms:W3CDTF">2025-12-05T13:44:00Z</dcterms:created>
  <dcterms:modified xsi:type="dcterms:W3CDTF">2025-12-05T13:47:00Z</dcterms:modified>
  <cp:category/>
</cp:coreProperties>
</file>