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9545AEA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i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8C2F67">
        <w:rPr>
          <w:lang w:val="sv-SE"/>
        </w:rPr>
        <w:t>etnologi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23BB41CF" w:rsidR="00705814" w:rsidRPr="008E34D1" w:rsidRDefault="00CE4B94" w:rsidP="008E34D1">
      <w:pPr>
        <w:pStyle w:val="Sidhuv"/>
        <w:rPr>
          <w:rFonts w:ascii="Arial" w:hAnsi="Arial" w:cs="Arial"/>
          <w:b/>
          <w:bCs/>
          <w:sz w:val="36"/>
          <w:szCs w:val="36"/>
          <w:lang w:val="en-GB"/>
        </w:rPr>
      </w:pPr>
      <w:proofErr w:type="spellStart"/>
      <w:r w:rsidRPr="008E34D1">
        <w:rPr>
          <w:rFonts w:ascii="Arial" w:hAnsi="Arial" w:cs="Arial"/>
          <w:b/>
          <w:bCs/>
          <w:sz w:val="36"/>
          <w:szCs w:val="36"/>
          <w:lang w:val="en-US"/>
        </w:rPr>
        <w:t>Kurslitteratur</w:t>
      </w:r>
      <w:proofErr w:type="spellEnd"/>
      <w:r w:rsidRPr="008E34D1">
        <w:rPr>
          <w:rFonts w:ascii="Arial" w:hAnsi="Arial" w:cs="Arial"/>
          <w:b/>
          <w:bCs/>
          <w:sz w:val="36"/>
          <w:szCs w:val="36"/>
          <w:lang w:val="en-US"/>
        </w:rPr>
        <w:t xml:space="preserve"> för </w:t>
      </w:r>
      <w:r w:rsidR="008E34D1" w:rsidRPr="008E34D1">
        <w:rPr>
          <w:rFonts w:ascii="Arial" w:hAnsi="Arial" w:cs="Arial"/>
          <w:b/>
          <w:bCs/>
          <w:sz w:val="36"/>
          <w:szCs w:val="36"/>
          <w:lang w:val="en-GB"/>
        </w:rPr>
        <w:t>TKAN</w:t>
      </w:r>
      <w:r w:rsidR="008E34D1" w:rsidRPr="008E34D1">
        <w:rPr>
          <w:rFonts w:ascii="Arial" w:hAnsi="Arial" w:cs="Arial"/>
          <w:b/>
          <w:bCs/>
          <w:sz w:val="36"/>
          <w:szCs w:val="36"/>
          <w:lang w:val="en-US"/>
        </w:rPr>
        <w:t>20</w:t>
      </w:r>
      <w:r w:rsidR="008E34D1" w:rsidRPr="008E34D1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8E34D1" w:rsidRPr="008E34D1">
        <w:rPr>
          <w:rFonts w:ascii="Arial" w:eastAsiaTheme="minorEastAsia" w:hAnsi="Arial" w:cs="Arial"/>
          <w:b/>
          <w:bCs/>
          <w:color w:val="242424"/>
          <w:sz w:val="36"/>
          <w:szCs w:val="36"/>
          <w:lang w:val="en-GB" w:eastAsia="ja-JP"/>
        </w:rPr>
        <w:t>Applied Cultural Analysis: Strategies for Composing Cultural Analysis</w:t>
      </w:r>
      <w:r w:rsidR="008E34D1" w:rsidRPr="008E34D1">
        <w:rPr>
          <w:rFonts w:ascii="Arial" w:hAnsi="Arial" w:cs="Arial"/>
          <w:b/>
          <w:bCs/>
          <w:sz w:val="36"/>
          <w:szCs w:val="36"/>
          <w:lang w:val="en-GB"/>
        </w:rPr>
        <w:t>, 15 hp, HT2026/VT2027</w:t>
      </w:r>
    </w:p>
    <w:p w14:paraId="1258690B" w14:textId="1CBE4397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8E34D1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24</w:t>
      </w:r>
      <w:r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8E34D1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06</w:t>
      </w:r>
      <w:r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8E34D1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09</w:t>
      </w:r>
      <w:r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8E34D1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26</w:t>
      </w:r>
      <w:r w:rsidR="002C72A3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8E34D1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05</w:t>
      </w:r>
      <w:r w:rsidR="002C72A3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8E34D1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22</w:t>
      </w:r>
      <w:r w:rsidR="002C72A3" w:rsidRPr="008E34D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48E6A43F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hyperlink r:id="rId14" w:history="1">
        <w:r w:rsidR="00B671E0" w:rsidRPr="005E1339">
          <w:rPr>
            <w:rStyle w:val="Hyperlnk"/>
            <w:lang w:val="sv-SE"/>
          </w:rPr>
          <w:t>https://finn.lub.lu.se/</w:t>
        </w:r>
      </w:hyperlink>
      <w:r w:rsidR="00F656A2">
        <w:rPr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13FC1F67" w14:textId="77777777" w:rsidR="00CA3BA7" w:rsidRPr="008E34D1" w:rsidRDefault="00CA3BA7" w:rsidP="00CA3BA7">
      <w:pPr>
        <w:pStyle w:val="Brdtext"/>
        <w:rPr>
          <w:lang w:val="en-US"/>
        </w:rPr>
      </w:pPr>
    </w:p>
    <w:p w14:paraId="38E35F82" w14:textId="77777777" w:rsidR="008E34D1" w:rsidRPr="006C6162" w:rsidRDefault="008E34D1" w:rsidP="008E34D1">
      <w:pPr>
        <w:ind w:right="-574"/>
        <w:rPr>
          <w:rFonts w:ascii="Arial" w:hAnsi="Arial" w:cs="Arial"/>
          <w:b/>
          <w:bCs/>
          <w:color w:val="000000" w:themeColor="text1"/>
          <w:szCs w:val="22"/>
          <w:lang w:val="en-US"/>
        </w:rPr>
      </w:pPr>
      <w:r w:rsidRPr="006C6162">
        <w:rPr>
          <w:rFonts w:ascii="Arial" w:hAnsi="Arial" w:cs="Arial"/>
          <w:b/>
          <w:bCs/>
          <w:color w:val="000000" w:themeColor="text1"/>
          <w:szCs w:val="22"/>
          <w:lang w:val="en-US"/>
        </w:rPr>
        <w:t xml:space="preserve">Obligatory readings </w:t>
      </w:r>
    </w:p>
    <w:p w14:paraId="25091979" w14:textId="77777777" w:rsidR="007D11F7" w:rsidRDefault="007D11F7" w:rsidP="007D11F7">
      <w:pPr>
        <w:pStyle w:val="Normalwebb"/>
        <w:rPr>
          <w:color w:val="000000"/>
          <w:lang w:val="en-US"/>
        </w:rPr>
      </w:pPr>
      <w:proofErr w:type="spellStart"/>
      <w:r w:rsidRPr="007D11F7">
        <w:rPr>
          <w:color w:val="000000"/>
          <w:lang w:val="en-US"/>
        </w:rPr>
        <w:t>Ahlness</w:t>
      </w:r>
      <w:proofErr w:type="spellEnd"/>
      <w:r w:rsidRPr="007D11F7">
        <w:rPr>
          <w:color w:val="000000"/>
          <w:lang w:val="en-US"/>
        </w:rPr>
        <w:t>, E.A. (2022) ‘Within Our Borders: Sámi Mobilization, the Scandinavian Response, and World War II’, in Einhorn, E., Huss, M. and Harbison, S. (eds.)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Migration and Multiculturalism in Scandinavia</w:t>
      </w:r>
      <w:r w:rsidRPr="007D11F7">
        <w:rPr>
          <w:color w:val="000000"/>
          <w:lang w:val="en-US"/>
        </w:rPr>
        <w:t>. Madison: University of Wisconsin Press, pp. 241–259. ISBN 9780299334802. (18 pages)</w:t>
      </w:r>
    </w:p>
    <w:p w14:paraId="6922FAFD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proofErr w:type="spellStart"/>
      <w:r w:rsidRPr="007D11F7">
        <w:rPr>
          <w:color w:val="000000"/>
          <w:lang w:val="en-US"/>
        </w:rPr>
        <w:t>Akrich</w:t>
      </w:r>
      <w:proofErr w:type="spellEnd"/>
      <w:r w:rsidRPr="007D11F7">
        <w:rPr>
          <w:color w:val="000000"/>
          <w:lang w:val="en-US"/>
        </w:rPr>
        <w:t>, M. (1992) ‘The De-scription of Technical Objects’, in Bijker, W. and Law, J. (eds.)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Shaping Technology/Building Society: Studies in Sociotechnical Change</w:t>
      </w:r>
      <w:r w:rsidRPr="007D11F7">
        <w:rPr>
          <w:color w:val="000000"/>
          <w:lang w:val="en-US"/>
        </w:rPr>
        <w:t>. Cambridge, MA: MIT Press, pp. 205–224. ISBN 9780262521376. (19 pages)</w:t>
      </w:r>
    </w:p>
    <w:p w14:paraId="7E03B969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Asdal, K. (2015) ‘What is the issue? The transformative capacity of documents’,</w:t>
      </w:r>
      <w:r w:rsidRPr="007D11F7">
        <w:rPr>
          <w:rStyle w:val="apple-converted-space"/>
          <w:color w:val="000000"/>
          <w:lang w:val="en-US"/>
        </w:rPr>
        <w:t> </w:t>
      </w:r>
      <w:proofErr w:type="spellStart"/>
      <w:r w:rsidRPr="007D11F7">
        <w:rPr>
          <w:rStyle w:val="Betoning"/>
          <w:color w:val="000000"/>
          <w:lang w:val="en-US"/>
        </w:rPr>
        <w:t>Distinktion</w:t>
      </w:r>
      <w:proofErr w:type="spellEnd"/>
      <w:r w:rsidRPr="007D11F7">
        <w:rPr>
          <w:rStyle w:val="Betoning"/>
          <w:color w:val="000000"/>
          <w:lang w:val="en-US"/>
        </w:rPr>
        <w:t>: Scandinavian Journal of Social Theory</w:t>
      </w:r>
      <w:r w:rsidRPr="007D11F7">
        <w:rPr>
          <w:color w:val="000000"/>
          <w:lang w:val="en-US"/>
        </w:rPr>
        <w:t>, 16(1), pp. 74–90. DOI: 10.1080/1600910X.2015.1022194. (16 pages)</w:t>
      </w:r>
      <w:r w:rsidRPr="007D11F7">
        <w:rPr>
          <w:rStyle w:val="apple-converted-space"/>
          <w:color w:val="000000"/>
          <w:lang w:val="en-US"/>
        </w:rPr>
        <w:t> </w:t>
      </w:r>
    </w:p>
    <w:p w14:paraId="6FECFADC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Bloch, S. (2019) ‘Shade’,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Places Journal</w:t>
      </w:r>
      <w:r w:rsidRPr="007D11F7">
        <w:rPr>
          <w:color w:val="000000"/>
          <w:lang w:val="en-US"/>
        </w:rPr>
        <w:t>, April. Available at:</w:t>
      </w:r>
      <w:r w:rsidRPr="007D11F7">
        <w:rPr>
          <w:rStyle w:val="apple-converted-space"/>
          <w:color w:val="000000"/>
          <w:lang w:val="en-US"/>
        </w:rPr>
        <w:t> </w:t>
      </w:r>
      <w:hyperlink r:id="rId15" w:tgtFrame="_new" w:history="1">
        <w:r w:rsidRPr="007D11F7">
          <w:rPr>
            <w:rStyle w:val="Hyperlnk"/>
            <w:lang w:val="en-US"/>
          </w:rPr>
          <w:t>https://doi.org/10.22269/190423</w:t>
        </w:r>
      </w:hyperlink>
      <w:r w:rsidRPr="007D11F7">
        <w:rPr>
          <w:color w:val="000000"/>
          <w:lang w:val="en-US"/>
        </w:rPr>
        <w:t>. (2 pages)</w:t>
      </w:r>
    </w:p>
    <w:p w14:paraId="7160C494" w14:textId="77777777" w:rsidR="007D11F7" w:rsidRDefault="007D11F7" w:rsidP="007D11F7">
      <w:pPr>
        <w:pStyle w:val="Normalwebb"/>
        <w:rPr>
          <w:color w:val="000000"/>
        </w:rPr>
      </w:pPr>
      <w:r w:rsidRPr="007D11F7">
        <w:rPr>
          <w:color w:val="000000"/>
          <w:lang w:val="en-US"/>
        </w:rPr>
        <w:t>Crenshaw, K. (1989) ‘Demarginalizing the Intersection of Race and Sex: A Black Feminist Critique of Antidiscrimination Doctrine, Feminist Theory and Antiracist Politics’,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University of Chicago Legal Forum</w:t>
      </w:r>
      <w:r w:rsidRPr="007D11F7">
        <w:rPr>
          <w:color w:val="000000"/>
          <w:lang w:val="en-US"/>
        </w:rPr>
        <w:t xml:space="preserve">, 1(8), pp. 139–167. </w:t>
      </w:r>
      <w:r>
        <w:rPr>
          <w:color w:val="000000"/>
        </w:rPr>
        <w:t>(31 pages)</w:t>
      </w:r>
      <w:r>
        <w:rPr>
          <w:rStyle w:val="apple-converted-space"/>
          <w:color w:val="000000"/>
        </w:rPr>
        <w:t> </w:t>
      </w:r>
    </w:p>
    <w:p w14:paraId="286248F2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lastRenderedPageBreak/>
        <w:t xml:space="preserve">de </w:t>
      </w:r>
      <w:proofErr w:type="spellStart"/>
      <w:r w:rsidRPr="007D11F7">
        <w:rPr>
          <w:color w:val="000000"/>
          <w:lang w:val="en-US"/>
        </w:rPr>
        <w:t>Certeau</w:t>
      </w:r>
      <w:proofErr w:type="spellEnd"/>
      <w:r w:rsidRPr="007D11F7">
        <w:rPr>
          <w:color w:val="000000"/>
          <w:lang w:val="en-US"/>
        </w:rPr>
        <w:t>, M. (1984)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The Practice of Everyday Life</w:t>
      </w:r>
      <w:r w:rsidRPr="007D11F7">
        <w:rPr>
          <w:color w:val="000000"/>
          <w:lang w:val="en-US"/>
        </w:rPr>
        <w:t>. Berkeley: University of California Press, pp. xi–xxiv, 29–42. ISBN 9780520271456. (25 pages)</w:t>
      </w:r>
    </w:p>
    <w:p w14:paraId="5D952409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De Laet, M. and Mol, A. (2000) ‘The Zimbabwe Bush Pump: Mechanics of a Fluid Technology’,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Social Studies of Science</w:t>
      </w:r>
      <w:r w:rsidRPr="007D11F7">
        <w:rPr>
          <w:color w:val="000000"/>
          <w:lang w:val="en-US"/>
        </w:rPr>
        <w:t>, 30(2), pp. 225–263. DOI: 10.1177/030631200030002002. (39 pages)</w:t>
      </w:r>
    </w:p>
    <w:p w14:paraId="3D9448FB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Ehn, B., Löfgren, O. and Wilk, R. (2015)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Exploring Everyday Life: Strategies for Ethnography and Cultural Analysis</w:t>
      </w:r>
      <w:r w:rsidRPr="007D11F7">
        <w:rPr>
          <w:color w:val="000000"/>
          <w:lang w:val="en-US"/>
        </w:rPr>
        <w:t>. Lanham: Rowman &amp; Littlefield, pp. 61–130. ISBN 9781442235410. (69 pages)</w:t>
      </w:r>
    </w:p>
    <w:p w14:paraId="7CC0AB9B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Eyal, G. and Buchholz, L. (2010) ‘From the Sociology of Intellectuals to the Sociology of Interventions’,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Annual Review of Sociology</w:t>
      </w:r>
      <w:r w:rsidRPr="007D11F7">
        <w:rPr>
          <w:color w:val="000000"/>
          <w:lang w:val="en-US"/>
        </w:rPr>
        <w:t>, 36, pp. 117–137. DOI: 10.1146/annurev.soc.012809.102625. (20 pages)</w:t>
      </w:r>
    </w:p>
    <w:p w14:paraId="06846521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Forlano, L. (2016) ‘Decentering the Human in the Design of Collaborative Cities’,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Design Issues</w:t>
      </w:r>
      <w:r w:rsidRPr="007D11F7">
        <w:rPr>
          <w:color w:val="000000"/>
          <w:lang w:val="en-US"/>
        </w:rPr>
        <w:t>, 32(3), pp. 42–54. DOI: 10.1162/DESI_a_00371. (12 pages)</w:t>
      </w:r>
    </w:p>
    <w:p w14:paraId="20285438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proofErr w:type="spellStart"/>
      <w:r w:rsidRPr="007D11F7">
        <w:rPr>
          <w:color w:val="000000"/>
          <w:lang w:val="en-US"/>
        </w:rPr>
        <w:t>Hartblay</w:t>
      </w:r>
      <w:proofErr w:type="spellEnd"/>
      <w:r w:rsidRPr="007D11F7">
        <w:rPr>
          <w:color w:val="000000"/>
          <w:lang w:val="en-US"/>
        </w:rPr>
        <w:t>, C. (2017) ‘Good ramps, bad ramps: Centralized design standards and disability access in urban Russian infrastructure’,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American Ethnologist</w:t>
      </w:r>
      <w:r w:rsidRPr="007D11F7">
        <w:rPr>
          <w:color w:val="000000"/>
          <w:lang w:val="en-US"/>
        </w:rPr>
        <w:t>, 44(1), pp. 9–22. DOI: 10.1111/amet.12457. (13 pages)</w:t>
      </w:r>
    </w:p>
    <w:p w14:paraId="4633A8C8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Ingold, T. (1993) ‘The Temporality of the Landscape’,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World Archaeology</w:t>
      </w:r>
      <w:r w:rsidRPr="007D11F7">
        <w:rPr>
          <w:color w:val="000000"/>
          <w:lang w:val="en-US"/>
        </w:rPr>
        <w:t>, 25(2), pp. 152–174. DOI: 10.1080/00438243.1993.9980235. (23 pages)</w:t>
      </w:r>
    </w:p>
    <w:p w14:paraId="46DEE296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Lien, M.E. and Law, J. (2012) ‘Slippery: Field notes on empirical ontology’,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Social Studies of Science</w:t>
      </w:r>
      <w:r w:rsidRPr="007D11F7">
        <w:rPr>
          <w:color w:val="000000"/>
          <w:lang w:val="en-US"/>
        </w:rPr>
        <w:t>, 43(3), pp. 363–378. DOI: 10.1177/0306312712456947. (15 pages)</w:t>
      </w:r>
    </w:p>
    <w:p w14:paraId="6FA77DD7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Low, S.M. and Lawrence-Zúñiga, D. (eds.) (2003)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The Anthropology of Space and Place: Locating Culture</w:t>
      </w:r>
      <w:r w:rsidRPr="007D11F7">
        <w:rPr>
          <w:color w:val="000000"/>
          <w:lang w:val="en-US"/>
        </w:rPr>
        <w:t>. Malden, MA: Blackwell Publishing, pp. 1–49. ISBN 9780631222330. (49 pages)</w:t>
      </w:r>
    </w:p>
    <w:p w14:paraId="079389C9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Meek, L.A. and Morales Fontanilla, J.A. (2022) ‘Otherwise’,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Feminist Anthropology</w:t>
      </w:r>
      <w:r w:rsidRPr="007D11F7">
        <w:rPr>
          <w:color w:val="000000"/>
          <w:lang w:val="en-US"/>
        </w:rPr>
        <w:t>, 3, pp. 274–283. DOI: 10.1002/fea2.12098. (9 pages)</w:t>
      </w:r>
    </w:p>
    <w:p w14:paraId="42198E0E" w14:textId="77777777" w:rsidR="007D11F7" w:rsidRDefault="007D11F7" w:rsidP="007D11F7">
      <w:pPr>
        <w:pStyle w:val="Normalwebb"/>
        <w:rPr>
          <w:color w:val="000000"/>
        </w:rPr>
      </w:pPr>
      <w:r w:rsidRPr="007D11F7">
        <w:rPr>
          <w:color w:val="000000"/>
          <w:lang w:val="en-US"/>
        </w:rPr>
        <w:t>Narvselius, E. (2015) ‘Spicing up Memories and Serving Nostalgias: Thematic Restaurants and Transnational Memories in East-Central European Borderland Cities’,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Journal of Contemporary European Studies</w:t>
      </w:r>
      <w:r w:rsidRPr="007D11F7">
        <w:rPr>
          <w:color w:val="000000"/>
          <w:lang w:val="en-US"/>
        </w:rPr>
        <w:t xml:space="preserve">, 23(3), pp. 417–432. </w:t>
      </w:r>
      <w:r>
        <w:rPr>
          <w:color w:val="000000"/>
        </w:rPr>
        <w:t xml:space="preserve">DOI: </w:t>
      </w:r>
      <w:proofErr w:type="gramStart"/>
      <w:r>
        <w:rPr>
          <w:color w:val="000000"/>
        </w:rPr>
        <w:t>10.1080</w:t>
      </w:r>
      <w:proofErr w:type="gramEnd"/>
      <w:r>
        <w:rPr>
          <w:color w:val="000000"/>
        </w:rPr>
        <w:t>/</w:t>
      </w:r>
      <w:proofErr w:type="gramStart"/>
      <w:r>
        <w:rPr>
          <w:color w:val="000000"/>
        </w:rPr>
        <w:t>14782804.2015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1056112</w:t>
      </w:r>
      <w:proofErr w:type="gramEnd"/>
      <w:r>
        <w:rPr>
          <w:color w:val="000000"/>
        </w:rPr>
        <w:t>. (15 pages)</w:t>
      </w:r>
    </w:p>
    <w:p w14:paraId="696B851A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lastRenderedPageBreak/>
        <w:t xml:space="preserve">Nora, P. (1989) ‘Between Memory and History: Les Lieux de </w:t>
      </w:r>
      <w:proofErr w:type="spellStart"/>
      <w:r w:rsidRPr="007D11F7">
        <w:rPr>
          <w:color w:val="000000"/>
          <w:lang w:val="en-US"/>
        </w:rPr>
        <w:t>Mémoire</w:t>
      </w:r>
      <w:proofErr w:type="spellEnd"/>
      <w:r w:rsidRPr="007D11F7">
        <w:rPr>
          <w:color w:val="000000"/>
          <w:lang w:val="en-US"/>
        </w:rPr>
        <w:t>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Representations</w:t>
      </w:r>
      <w:r w:rsidRPr="007D11F7">
        <w:rPr>
          <w:color w:val="000000"/>
          <w:lang w:val="en-US"/>
        </w:rPr>
        <w:t>, 26, pp. 7–24. DOI: 10.2307/2928520. (17 pages)</w:t>
      </w:r>
    </w:p>
    <w:p w14:paraId="5CDE245D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O’Dell, T. and Willim, R. (2011) ‘Composing Ethnography’,</w:t>
      </w:r>
      <w:r w:rsidRPr="007D11F7">
        <w:rPr>
          <w:rStyle w:val="apple-converted-space"/>
          <w:color w:val="000000"/>
          <w:lang w:val="en-US"/>
        </w:rPr>
        <w:t> </w:t>
      </w:r>
      <w:proofErr w:type="spellStart"/>
      <w:r w:rsidRPr="007D11F7">
        <w:rPr>
          <w:rStyle w:val="Betoning"/>
          <w:color w:val="000000"/>
          <w:lang w:val="en-US"/>
        </w:rPr>
        <w:t>Ethnologia</w:t>
      </w:r>
      <w:proofErr w:type="spellEnd"/>
      <w:r w:rsidRPr="007D11F7">
        <w:rPr>
          <w:rStyle w:val="Betoning"/>
          <w:color w:val="000000"/>
          <w:lang w:val="en-US"/>
        </w:rPr>
        <w:t xml:space="preserve"> Europaea</w:t>
      </w:r>
      <w:r w:rsidRPr="007D11F7">
        <w:rPr>
          <w:color w:val="000000"/>
          <w:lang w:val="en-US"/>
        </w:rPr>
        <w:t>, 41(1), pp. 26–39. Available at:</w:t>
      </w:r>
      <w:r w:rsidRPr="007D11F7">
        <w:rPr>
          <w:rStyle w:val="apple-converted-space"/>
          <w:color w:val="000000"/>
          <w:lang w:val="en-US"/>
        </w:rPr>
        <w:t> </w:t>
      </w:r>
      <w:hyperlink r:id="rId16" w:tgtFrame="_new" w:history="1">
        <w:r w:rsidRPr="007D11F7">
          <w:rPr>
            <w:rStyle w:val="Hyperlnk"/>
            <w:lang w:val="en-US"/>
          </w:rPr>
          <w:t>https://portal.research.lu.se/ws/files/5262267/4238689.pdf</w:t>
        </w:r>
      </w:hyperlink>
      <w:r w:rsidRPr="007D11F7">
        <w:rPr>
          <w:color w:val="000000"/>
          <w:lang w:val="en-US"/>
        </w:rPr>
        <w:t>. (13 pages)</w:t>
      </w:r>
    </w:p>
    <w:p w14:paraId="152F3830" w14:textId="77777777" w:rsid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Pasieka, A. (2019) ‘Anthropology of the Far Right: What if We Like the “Unlikeable” Others?’,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Anthropology Today</w:t>
      </w:r>
      <w:r w:rsidRPr="007D11F7">
        <w:rPr>
          <w:color w:val="000000"/>
          <w:lang w:val="en-US"/>
        </w:rPr>
        <w:t>, 35(1), pp. 3–6. DOI: 10.1111/1467-8322.12467. (3 pages)</w:t>
      </w:r>
    </w:p>
    <w:p w14:paraId="4F8B5963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proofErr w:type="spellStart"/>
      <w:r w:rsidRPr="007D11F7">
        <w:rPr>
          <w:color w:val="000000"/>
          <w:lang w:val="en-US"/>
        </w:rPr>
        <w:t>Puwar</w:t>
      </w:r>
      <w:proofErr w:type="spellEnd"/>
      <w:r w:rsidRPr="007D11F7">
        <w:rPr>
          <w:color w:val="000000"/>
          <w:lang w:val="en-US"/>
        </w:rPr>
        <w:t>, N. (2010) ‘The Archi-texture of Parliament: Flaneur as Method in Westminster’,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Journal of Legislative Studies</w:t>
      </w:r>
      <w:r w:rsidRPr="007D11F7">
        <w:rPr>
          <w:color w:val="000000"/>
          <w:lang w:val="en-US"/>
        </w:rPr>
        <w:t>, 16(3), pp. 298–312. DOI: 10.1080/13572334.2010.498095. (15 pages)</w:t>
      </w:r>
    </w:p>
    <w:p w14:paraId="2FF0FD8A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Rumford, C. (2008) ‘Introduction: Citizens and borderwork in Europe’,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Space and Polity</w:t>
      </w:r>
      <w:r w:rsidRPr="007D11F7">
        <w:rPr>
          <w:color w:val="000000"/>
          <w:lang w:val="en-US"/>
        </w:rPr>
        <w:t>, 12(1), pp. 1–12. DOI: 10.1080/13562570801969377. (12 pages)</w:t>
      </w:r>
    </w:p>
    <w:p w14:paraId="6EEDC793" w14:textId="77777777" w:rsidR="008E34D1" w:rsidRPr="001264B7" w:rsidRDefault="008E34D1" w:rsidP="008E34D1">
      <w:pPr>
        <w:pStyle w:val="Normalwebb"/>
        <w:rPr>
          <w:color w:val="000000"/>
          <w:lang w:val="en-US"/>
        </w:rPr>
      </w:pPr>
      <w:r w:rsidRPr="001264B7">
        <w:rPr>
          <w:color w:val="000000"/>
          <w:lang w:val="en-US"/>
        </w:rPr>
        <w:t>Tsing, A.L., Deger, J., Saxena, A.K. and Zhou, F. (2020)</w:t>
      </w:r>
      <w:r w:rsidRPr="001264B7">
        <w:rPr>
          <w:rStyle w:val="apple-converted-space"/>
          <w:color w:val="000000"/>
          <w:lang w:val="en-US"/>
        </w:rPr>
        <w:t> </w:t>
      </w:r>
      <w:r w:rsidRPr="001264B7">
        <w:rPr>
          <w:rStyle w:val="Betoning"/>
          <w:color w:val="000000"/>
          <w:lang w:val="en-US"/>
        </w:rPr>
        <w:t>Feral Atlas: The More-than-human Anthropocene</w:t>
      </w:r>
      <w:r w:rsidRPr="001264B7">
        <w:rPr>
          <w:color w:val="000000"/>
          <w:lang w:val="en-US"/>
        </w:rPr>
        <w:t>. Stanford: Stanford University Press. Available at:</w:t>
      </w:r>
      <w:r w:rsidRPr="001264B7">
        <w:rPr>
          <w:rStyle w:val="apple-converted-space"/>
          <w:color w:val="000000"/>
          <w:lang w:val="en-US"/>
        </w:rPr>
        <w:t> </w:t>
      </w:r>
      <w:hyperlink r:id="rId17" w:tgtFrame="_new" w:history="1">
        <w:r w:rsidRPr="001264B7">
          <w:rPr>
            <w:rStyle w:val="Hyperlnk"/>
            <w:lang w:val="en-US"/>
          </w:rPr>
          <w:t>https://feralatlas.org</w:t>
        </w:r>
      </w:hyperlink>
      <w:r w:rsidRPr="001264B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(from this source, the students will select their own readings with an estimated reading amount of 60 pages)</w:t>
      </w:r>
    </w:p>
    <w:p w14:paraId="79806847" w14:textId="77777777" w:rsid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Tsing, A.L., Deger, J., Saxena, A.K. and Zhou, F. (2024)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Field Guide to the Patchy Anthropocene: The New Nature</w:t>
      </w:r>
      <w:r w:rsidRPr="007D11F7">
        <w:rPr>
          <w:color w:val="000000"/>
          <w:lang w:val="en-US"/>
        </w:rPr>
        <w:t>. Stanford: Stanford University Press, pp. 1–15, 249–256. ISBN 9781503638822. (32 pages)</w:t>
      </w:r>
    </w:p>
    <w:p w14:paraId="4E2D5AE9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Van Hulst, M., Durose, C. and Agger, A. (2024) ‘How Local Practices of Sociopolitical Innovation Develop: And Why This Matters for Urban Transformations’,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International Journal of Urban and Regional Research</w:t>
      </w:r>
      <w:r w:rsidRPr="007D11F7">
        <w:rPr>
          <w:color w:val="000000"/>
          <w:lang w:val="en-US"/>
        </w:rPr>
        <w:t>, 48(4), pp. 585–602. DOI: 10.1111/1468-2427.13283. (17 pages)</w:t>
      </w:r>
    </w:p>
    <w:p w14:paraId="3D0584DF" w14:textId="77777777" w:rsidR="007D11F7" w:rsidRPr="007D11F7" w:rsidRDefault="007D11F7" w:rsidP="007D11F7">
      <w:pPr>
        <w:pStyle w:val="Normalwebb"/>
        <w:rPr>
          <w:color w:val="000000"/>
          <w:lang w:val="en-US"/>
        </w:rPr>
      </w:pPr>
      <w:r w:rsidRPr="007D11F7">
        <w:rPr>
          <w:color w:val="000000"/>
          <w:lang w:val="en-US"/>
        </w:rPr>
        <w:t>Wimmer, A. (2013)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Ethnic Boundary Making: Institutions, Power, Networks</w:t>
      </w:r>
      <w:r w:rsidRPr="007D11F7">
        <w:rPr>
          <w:color w:val="000000"/>
          <w:lang w:val="en-US"/>
        </w:rPr>
        <w:t>. New York: Oxford University Press, pp. 44–78. ISBN 9780199927371. (35 pages)</w:t>
      </w:r>
    </w:p>
    <w:p w14:paraId="17C72BE4" w14:textId="77777777" w:rsidR="007D11F7" w:rsidRDefault="007D11F7" w:rsidP="007D11F7">
      <w:pPr>
        <w:pStyle w:val="Normalwebb"/>
        <w:rPr>
          <w:color w:val="000000"/>
        </w:rPr>
      </w:pPr>
      <w:r w:rsidRPr="007D11F7">
        <w:rPr>
          <w:color w:val="000000"/>
          <w:lang w:val="en-US"/>
        </w:rPr>
        <w:t>Wynne, J. (2011) ‘Hearing Faces, Seeing Voices: Sound Art, Experimentalism and the Ethnographic Gaze’, in Schneider, A. and Wright, C. (eds.)</w:t>
      </w:r>
      <w:r w:rsidRPr="007D11F7">
        <w:rPr>
          <w:rStyle w:val="apple-converted-space"/>
          <w:color w:val="000000"/>
          <w:lang w:val="en-US"/>
        </w:rPr>
        <w:t> </w:t>
      </w:r>
      <w:r w:rsidRPr="007D11F7">
        <w:rPr>
          <w:rStyle w:val="Betoning"/>
          <w:color w:val="000000"/>
          <w:lang w:val="en-US"/>
        </w:rPr>
        <w:t>Between Art and Anthropology: Contemporary Ethnographic Practice</w:t>
      </w:r>
      <w:r w:rsidRPr="007D11F7">
        <w:rPr>
          <w:color w:val="000000"/>
          <w:lang w:val="en-US"/>
        </w:rPr>
        <w:t xml:space="preserve">. Oxford: Berg Publishers, pp. 49–67. </w:t>
      </w:r>
      <w:r>
        <w:rPr>
          <w:color w:val="000000"/>
        </w:rPr>
        <w:t xml:space="preserve">ISBN </w:t>
      </w:r>
      <w:proofErr w:type="gramStart"/>
      <w:r>
        <w:rPr>
          <w:color w:val="000000"/>
        </w:rPr>
        <w:t>9781847882998</w:t>
      </w:r>
      <w:proofErr w:type="gramEnd"/>
      <w:r>
        <w:rPr>
          <w:color w:val="000000"/>
        </w:rPr>
        <w:t>. (19 pages)</w:t>
      </w:r>
    </w:p>
    <w:p w14:paraId="6971E9D4" w14:textId="77777777" w:rsidR="008E34D1" w:rsidRPr="000D2B54" w:rsidRDefault="008E34D1" w:rsidP="008E34D1">
      <w:pPr>
        <w:ind w:right="-574"/>
        <w:rPr>
          <w:rFonts w:ascii="Arial" w:hAnsi="Arial" w:cs="Arial"/>
          <w:b/>
          <w:color w:val="000000" w:themeColor="text1"/>
          <w:szCs w:val="22"/>
        </w:rPr>
      </w:pPr>
      <w:r w:rsidRPr="000D2B54">
        <w:rPr>
          <w:rFonts w:ascii="Arial" w:hAnsi="Arial" w:cs="Arial"/>
          <w:b/>
          <w:color w:val="000000" w:themeColor="text1"/>
          <w:szCs w:val="22"/>
        </w:rPr>
        <w:lastRenderedPageBreak/>
        <w:t xml:space="preserve">Total number of obligatory pages: </w:t>
      </w:r>
      <w:r>
        <w:rPr>
          <w:rFonts w:ascii="Arial" w:hAnsi="Arial" w:cs="Arial"/>
          <w:b/>
          <w:color w:val="000000" w:themeColor="text1"/>
          <w:szCs w:val="22"/>
        </w:rPr>
        <w:t>654</w:t>
      </w:r>
    </w:p>
    <w:p w14:paraId="52246BB7" w14:textId="77777777" w:rsidR="008E34D1" w:rsidRPr="000D2B54" w:rsidRDefault="008E34D1" w:rsidP="008E34D1">
      <w:pPr>
        <w:ind w:right="-574"/>
        <w:rPr>
          <w:rFonts w:ascii="Arial" w:hAnsi="Arial" w:cs="Arial"/>
          <w:b/>
          <w:iCs/>
          <w:color w:val="000000" w:themeColor="text1"/>
          <w:szCs w:val="22"/>
        </w:rPr>
      </w:pPr>
      <w:r w:rsidRPr="000D2B54">
        <w:rPr>
          <w:rFonts w:ascii="Arial" w:hAnsi="Arial" w:cs="Arial"/>
          <w:b/>
          <w:iCs/>
          <w:color w:val="000000" w:themeColor="text1"/>
          <w:szCs w:val="22"/>
        </w:rPr>
        <w:br/>
      </w:r>
      <w:r w:rsidRPr="000D2B54">
        <w:rPr>
          <w:rFonts w:ascii="Arial" w:hAnsi="Arial" w:cs="Arial"/>
          <w:b/>
          <w:iCs/>
          <w:color w:val="000000" w:themeColor="text1"/>
          <w:szCs w:val="22"/>
          <w:lang w:val="en-US"/>
        </w:rPr>
        <w:t>N</w:t>
      </w:r>
      <w:r w:rsidRPr="000D2B54">
        <w:rPr>
          <w:rFonts w:ascii="Arial" w:hAnsi="Arial" w:cs="Arial"/>
          <w:b/>
          <w:iCs/>
          <w:color w:val="000000" w:themeColor="text1"/>
          <w:szCs w:val="22"/>
        </w:rPr>
        <w:t>on-obligatory</w:t>
      </w:r>
      <w:r>
        <w:rPr>
          <w:rFonts w:ascii="Arial" w:hAnsi="Arial" w:cs="Arial"/>
          <w:b/>
          <w:iCs/>
          <w:color w:val="000000" w:themeColor="text1"/>
          <w:szCs w:val="22"/>
        </w:rPr>
        <w:t>/additional</w:t>
      </w:r>
      <w:r w:rsidRPr="000D2B54">
        <w:rPr>
          <w:rFonts w:ascii="Arial" w:hAnsi="Arial" w:cs="Arial"/>
          <w:b/>
          <w:iCs/>
          <w:color w:val="000000" w:themeColor="text1"/>
          <w:szCs w:val="22"/>
        </w:rPr>
        <w:t xml:space="preserve"> readings:</w:t>
      </w:r>
    </w:p>
    <w:p w14:paraId="5A45356E" w14:textId="77777777" w:rsidR="008E34D1" w:rsidRPr="000D2B54" w:rsidRDefault="008E34D1" w:rsidP="008E34D1">
      <w:pPr>
        <w:ind w:right="-574"/>
        <w:rPr>
          <w:rFonts w:ascii="Arial" w:hAnsi="Arial" w:cs="Arial"/>
          <w:b/>
          <w:bCs/>
          <w:color w:val="000000"/>
          <w:spacing w:val="5"/>
          <w:szCs w:val="22"/>
          <w:shd w:val="clear" w:color="auto" w:fill="FFFFFF"/>
          <w:lang w:val="en-US"/>
        </w:rPr>
      </w:pPr>
    </w:p>
    <w:p w14:paraId="2C1F90A8" w14:textId="77777777" w:rsidR="008E34D1" w:rsidRPr="005312F7" w:rsidRDefault="008E34D1" w:rsidP="008E34D1">
      <w:pPr>
        <w:ind w:right="-574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312F7">
        <w:rPr>
          <w:rFonts w:ascii="Times New Roman" w:hAnsi="Times New Roman"/>
          <w:color w:val="000000" w:themeColor="text1"/>
          <w:sz w:val="24"/>
          <w:szCs w:val="24"/>
          <w:lang w:val="en-US"/>
        </w:rPr>
        <w:t>Willis, Paul E., </w:t>
      </w:r>
      <w:r w:rsidRPr="005312F7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The Ethnographic Imagination</w:t>
      </w:r>
      <w:r w:rsidRPr="005312F7">
        <w:rPr>
          <w:rFonts w:ascii="Times New Roman" w:hAnsi="Times New Roman"/>
          <w:color w:val="000000" w:themeColor="text1"/>
          <w:sz w:val="24"/>
          <w:szCs w:val="24"/>
          <w:lang w:val="en-US"/>
        </w:rPr>
        <w:t>, Polity Press, Malden, Mass., 2000, pp.3-</w:t>
      </w:r>
      <w:r w:rsidRPr="006735E0">
        <w:rPr>
          <w:rFonts w:ascii="Times New Roman" w:hAnsi="Times New Roman"/>
          <w:color w:val="000000" w:themeColor="text1"/>
          <w:sz w:val="24"/>
          <w:szCs w:val="24"/>
          <w:lang w:val="en-US"/>
        </w:rPr>
        <w:t>127 (124 pages).</w:t>
      </w:r>
    </w:p>
    <w:p w14:paraId="51FD52C0" w14:textId="77777777" w:rsidR="008E34D1" w:rsidRPr="005312F7" w:rsidRDefault="008E34D1" w:rsidP="008E34D1">
      <w:pPr>
        <w:ind w:right="-574"/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</w:pPr>
    </w:p>
    <w:p w14:paraId="7E5C61CB" w14:textId="77777777" w:rsidR="008E34D1" w:rsidRPr="00BA6E1F" w:rsidRDefault="008E34D1" w:rsidP="008E34D1">
      <w:pPr>
        <w:pStyle w:val="Brdtext"/>
      </w:pPr>
    </w:p>
    <w:p w14:paraId="33D692B9" w14:textId="49C78931" w:rsidR="00836107" w:rsidRPr="008E34D1" w:rsidRDefault="00836107" w:rsidP="00CA3BA7">
      <w:pPr>
        <w:pStyle w:val="Brdtext"/>
      </w:pPr>
    </w:p>
    <w:p w14:paraId="06E6E94E" w14:textId="63911A45" w:rsidR="00836107" w:rsidRPr="008E34D1" w:rsidRDefault="00836107" w:rsidP="00CA3BA7">
      <w:pPr>
        <w:pStyle w:val="Brdtext"/>
        <w:rPr>
          <w:lang w:val="en-US"/>
        </w:rPr>
      </w:pPr>
    </w:p>
    <w:p w14:paraId="50A9A71A" w14:textId="177C68B7" w:rsidR="00836107" w:rsidRPr="008E34D1" w:rsidRDefault="00836107" w:rsidP="00CA3BA7">
      <w:pPr>
        <w:pStyle w:val="Brdtext"/>
        <w:rPr>
          <w:lang w:val="en-US"/>
        </w:rPr>
      </w:pPr>
    </w:p>
    <w:p w14:paraId="1AC9E6E9" w14:textId="4EAC357C" w:rsidR="00836107" w:rsidRPr="008E34D1" w:rsidRDefault="00836107" w:rsidP="00CA3BA7">
      <w:pPr>
        <w:pStyle w:val="Brdtext"/>
        <w:rPr>
          <w:lang w:val="en-US"/>
        </w:rPr>
      </w:pPr>
    </w:p>
    <w:p w14:paraId="7C1E637F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78C8285D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59DDCA9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1B368204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1C86D80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1C1A8FA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9F11A9B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7EB20D09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12FC666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DDF217A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3B7112A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4153C96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3B3E6E1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9AF4AC6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7FC3CE98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784B50C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AA3E141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62379AE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853811C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83B3999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2AB44A02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5E68C17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28EA70A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4DF9BA91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76D97E71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478E661D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863CEBA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CB39699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1247D0AC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F475AB1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52B60525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D0E0F69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3654D84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290CEF9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D7A6816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475991D7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20E1DB7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19DC652C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2E074ABB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4281BCBE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104FEEF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187DC203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533D8F3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7F83A4D8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603C4B48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00AAB488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37DCCA5D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7DF52024" w14:textId="77777777" w:rsidR="00836107" w:rsidRPr="008E34D1" w:rsidRDefault="00836107" w:rsidP="00CA3BA7">
      <w:pPr>
        <w:pStyle w:val="Brdtext"/>
        <w:rPr>
          <w:highlight w:val="yellow"/>
          <w:lang w:val="en-US"/>
        </w:rPr>
      </w:pPr>
    </w:p>
    <w:p w14:paraId="24C834CE" w14:textId="7D779E56" w:rsidR="00CA3BA7" w:rsidRPr="0090462E" w:rsidRDefault="00836107" w:rsidP="000C5367">
      <w:pPr>
        <w:pStyle w:val="Brdtext"/>
        <w:rPr>
          <w:lang w:val="sv-SE"/>
        </w:rPr>
      </w:pPr>
      <w:r w:rsidRPr="00836107">
        <w:rPr>
          <w:highlight w:val="yellow"/>
          <w:lang w:val="sv-SE"/>
        </w:rPr>
        <w:t xml:space="preserve">Totalt antal sidor: </w:t>
      </w:r>
      <w:proofErr w:type="spellStart"/>
      <w:r w:rsidRPr="00836107">
        <w:rPr>
          <w:highlight w:val="yellow"/>
          <w:lang w:val="sv-SE"/>
        </w:rPr>
        <w:t>xxxx</w:t>
      </w:r>
      <w:proofErr w:type="spellEnd"/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DEB5" w14:textId="77777777" w:rsidR="006510C6" w:rsidRDefault="006510C6">
      <w:pPr>
        <w:spacing w:line="240" w:lineRule="auto"/>
      </w:pPr>
      <w:r>
        <w:separator/>
      </w:r>
    </w:p>
  </w:endnote>
  <w:endnote w:type="continuationSeparator" w:id="0">
    <w:p w14:paraId="0DD13CEE" w14:textId="77777777" w:rsidR="006510C6" w:rsidRDefault="00651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F19E" w14:textId="77777777" w:rsidR="006510C6" w:rsidRDefault="006510C6">
      <w:pPr>
        <w:spacing w:line="240" w:lineRule="auto"/>
      </w:pPr>
      <w:r>
        <w:separator/>
      </w:r>
    </w:p>
  </w:footnote>
  <w:footnote w:type="continuationSeparator" w:id="0">
    <w:p w14:paraId="2B68C1A6" w14:textId="77777777" w:rsidR="006510C6" w:rsidRDefault="00651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9077">
    <w:abstractNumId w:val="4"/>
  </w:num>
  <w:num w:numId="2" w16cid:durableId="1010565692">
    <w:abstractNumId w:val="5"/>
  </w:num>
  <w:num w:numId="3" w16cid:durableId="635179304">
    <w:abstractNumId w:val="6"/>
  </w:num>
  <w:num w:numId="4" w16cid:durableId="1821070992">
    <w:abstractNumId w:val="7"/>
  </w:num>
  <w:num w:numId="5" w16cid:durableId="1488129495">
    <w:abstractNumId w:val="9"/>
  </w:num>
  <w:num w:numId="6" w16cid:durableId="1020817146">
    <w:abstractNumId w:val="0"/>
  </w:num>
  <w:num w:numId="7" w16cid:durableId="1146699921">
    <w:abstractNumId w:val="1"/>
  </w:num>
  <w:num w:numId="8" w16cid:durableId="1126124902">
    <w:abstractNumId w:val="2"/>
  </w:num>
  <w:num w:numId="9" w16cid:durableId="558830657">
    <w:abstractNumId w:val="3"/>
  </w:num>
  <w:num w:numId="10" w16cid:durableId="1950156744">
    <w:abstractNumId w:val="8"/>
  </w:num>
  <w:num w:numId="11" w16cid:durableId="1426921828">
    <w:abstractNumId w:val="11"/>
  </w:num>
  <w:num w:numId="12" w16cid:durableId="1545093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A74DE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510C6"/>
    <w:rsid w:val="00677566"/>
    <w:rsid w:val="006A0515"/>
    <w:rsid w:val="006B33EA"/>
    <w:rsid w:val="006B7A52"/>
    <w:rsid w:val="00703F2D"/>
    <w:rsid w:val="00705814"/>
    <w:rsid w:val="00732BDC"/>
    <w:rsid w:val="00746C3F"/>
    <w:rsid w:val="00770CB7"/>
    <w:rsid w:val="007812DB"/>
    <w:rsid w:val="007D11F7"/>
    <w:rsid w:val="0080655D"/>
    <w:rsid w:val="00830330"/>
    <w:rsid w:val="00834203"/>
    <w:rsid w:val="00836107"/>
    <w:rsid w:val="00843BFA"/>
    <w:rsid w:val="00843E27"/>
    <w:rsid w:val="008751CD"/>
    <w:rsid w:val="008A4890"/>
    <w:rsid w:val="008B3AF6"/>
    <w:rsid w:val="008C280D"/>
    <w:rsid w:val="008C2F67"/>
    <w:rsid w:val="008D258B"/>
    <w:rsid w:val="008E34D1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46EB5"/>
    <w:rsid w:val="00A5672F"/>
    <w:rsid w:val="00A632CE"/>
    <w:rsid w:val="00A76080"/>
    <w:rsid w:val="00A825DC"/>
    <w:rsid w:val="00AA2FCF"/>
    <w:rsid w:val="00B25EB6"/>
    <w:rsid w:val="00B42469"/>
    <w:rsid w:val="00B671E0"/>
    <w:rsid w:val="00BA15B7"/>
    <w:rsid w:val="00BA167B"/>
    <w:rsid w:val="00BC4172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E012CB"/>
    <w:rsid w:val="00E26A1B"/>
    <w:rsid w:val="00E52E23"/>
    <w:rsid w:val="00E53293"/>
    <w:rsid w:val="00E55AF5"/>
    <w:rsid w:val="00E70906"/>
    <w:rsid w:val="00E84BC7"/>
    <w:rsid w:val="00E91616"/>
    <w:rsid w:val="00EA53C9"/>
    <w:rsid w:val="00EF0125"/>
    <w:rsid w:val="00F53F5D"/>
    <w:rsid w:val="00F656A2"/>
    <w:rsid w:val="00F73CE0"/>
    <w:rsid w:val="00FA0ED2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671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8E34D1"/>
  </w:style>
  <w:style w:type="character" w:styleId="Betoning">
    <w:name w:val="Emphasis"/>
    <w:basedOn w:val="Standardstycketeckensnitt"/>
    <w:uiPriority w:val="20"/>
    <w:qFormat/>
    <w:rsid w:val="008E34D1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34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E34D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E34D1"/>
    <w:rPr>
      <w:rFonts w:ascii="AGaramond" w:hAnsi="AGaramond"/>
      <w:lang w:val="en-GB"/>
    </w:rPr>
  </w:style>
  <w:style w:type="paragraph" w:customStyle="1" w:styleId="Sidhuv">
    <w:name w:val="Sidhuv"/>
    <w:basedOn w:val="Normal"/>
    <w:uiPriority w:val="99"/>
    <w:semiHidden/>
    <w:rsid w:val="008E34D1"/>
    <w:pPr>
      <w:tabs>
        <w:tab w:val="center" w:pos="4536"/>
        <w:tab w:val="right" w:pos="9072"/>
      </w:tabs>
      <w:spacing w:line="240" w:lineRule="auto"/>
    </w:pPr>
    <w:rPr>
      <w:rFonts w:ascii="Cambria" w:eastAsia="Cambria" w:hAnsi="Cambria"/>
      <w:sz w:val="24"/>
      <w:szCs w:val="24"/>
      <w:lang w:val="sv-SE"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7D11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feralatla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research.lu.se/ws/files/5262267/423868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2269/190423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5898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2</cp:revision>
  <cp:lastPrinted>2017-12-15T10:09:00Z</cp:lastPrinted>
  <dcterms:created xsi:type="dcterms:W3CDTF">2026-05-27T14:20:00Z</dcterms:created>
  <dcterms:modified xsi:type="dcterms:W3CDTF">2026-05-27T14:20:00Z</dcterms:modified>
  <cp:category/>
</cp:coreProperties>
</file>